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4951" w14:textId="77777777" w:rsidR="00585044" w:rsidRPr="008230C7" w:rsidRDefault="00585044" w:rsidP="00585044">
      <w:pPr>
        <w:spacing w:line="259" w:lineRule="auto"/>
        <w:jc w:val="both"/>
        <w:rPr>
          <w:rFonts w:eastAsia="Calibri"/>
          <w:b/>
          <w:lang w:val="kk-KZ" w:eastAsia="en-US"/>
        </w:rPr>
      </w:pPr>
      <w:r w:rsidRPr="008230C7">
        <w:rPr>
          <w:rFonts w:eastAsia="Calibri"/>
          <w:b/>
          <w:lang w:val="kk-KZ" w:eastAsia="en-US"/>
        </w:rPr>
        <w:t>Тері астына енгізу үшін ерітінді дайындауға арналған 0.3 мг (9.6 млн ХБ) лиофилизат еріткішпен жиынтықта, Интербетин (интерферон бета-1b) препараты жөнінде денсаулық сақтау мамандарына тікелей арнау: Препаратты дозалау жөніндегі ұсынымдар.</w:t>
      </w:r>
      <w:r>
        <w:rPr>
          <w:rFonts w:eastAsia="Calibri"/>
          <w:b/>
          <w:lang w:val="kk-KZ" w:eastAsia="en-US"/>
        </w:rPr>
        <w:t xml:space="preserve"> </w:t>
      </w:r>
      <w:r w:rsidRPr="004E7183">
        <w:rPr>
          <w:rFonts w:eastAsia="Calibri"/>
          <w:b/>
          <w:bCs/>
          <w:lang w:val="kk-KZ" w:eastAsia="en-US"/>
        </w:rPr>
        <w:t>(</w:t>
      </w:r>
      <w:r>
        <w:rPr>
          <w:rFonts w:eastAsia="Calibri"/>
          <w:b/>
          <w:bCs/>
          <w:lang w:val="kk-KZ" w:eastAsia="en-US"/>
        </w:rPr>
        <w:t>14.03.2025</w:t>
      </w:r>
      <w:r w:rsidRPr="004E7183">
        <w:rPr>
          <w:rFonts w:eastAsia="Calibri"/>
          <w:b/>
          <w:bCs/>
          <w:lang w:val="kk-KZ" w:eastAsia="en-US"/>
        </w:rPr>
        <w:t xml:space="preserve"> жылғы </w:t>
      </w:r>
      <w:r>
        <w:rPr>
          <w:rFonts w:eastAsia="Calibri"/>
          <w:b/>
          <w:bCs/>
          <w:lang w:val="kk-KZ" w:eastAsia="en-US"/>
        </w:rPr>
        <w:t>2</w:t>
      </w:r>
      <w:r w:rsidRPr="004E7183">
        <w:rPr>
          <w:rFonts w:eastAsia="Calibri"/>
          <w:b/>
          <w:bCs/>
          <w:lang w:val="kk-KZ" w:eastAsia="en-US"/>
        </w:rPr>
        <w:t xml:space="preserve"> нұсқа)</w:t>
      </w:r>
    </w:p>
    <w:p w14:paraId="514895D2" w14:textId="77777777" w:rsidR="00585044" w:rsidRPr="008230C7" w:rsidRDefault="00585044" w:rsidP="00585044">
      <w:pPr>
        <w:spacing w:line="259" w:lineRule="auto"/>
        <w:jc w:val="both"/>
        <w:rPr>
          <w:rFonts w:eastAsia="Calibri"/>
          <w:b/>
          <w:lang w:val="kk-KZ" w:eastAsia="en-US"/>
        </w:rPr>
      </w:pPr>
    </w:p>
    <w:p w14:paraId="68A87A9E" w14:textId="77777777" w:rsidR="00585044" w:rsidRPr="008230C7" w:rsidRDefault="00585044" w:rsidP="00585044">
      <w:pPr>
        <w:spacing w:line="259" w:lineRule="auto"/>
        <w:jc w:val="center"/>
        <w:rPr>
          <w:rFonts w:eastAsia="Calibri"/>
          <w:b/>
          <w:lang w:val="kk-KZ" w:eastAsia="en-US"/>
        </w:rPr>
      </w:pPr>
      <w:r w:rsidRPr="008230C7">
        <w:rPr>
          <w:rFonts w:eastAsia="Calibri"/>
          <w:b/>
          <w:lang w:val="kk-KZ" w:eastAsia="en-US"/>
        </w:rPr>
        <w:t>Құрметті денсаулық сақтау мамандары!</w:t>
      </w:r>
    </w:p>
    <w:p w14:paraId="2274FDBB" w14:textId="77777777" w:rsidR="00585044" w:rsidRPr="00585044" w:rsidRDefault="00585044" w:rsidP="00585044">
      <w:pPr>
        <w:spacing w:line="259" w:lineRule="auto"/>
        <w:jc w:val="center"/>
        <w:rPr>
          <w:rFonts w:eastAsia="Calibri"/>
          <w:lang w:val="kk-KZ" w:eastAsia="en-US"/>
        </w:rPr>
      </w:pPr>
    </w:p>
    <w:p w14:paraId="7D36ABD9" w14:textId="77777777" w:rsidR="00585044" w:rsidRPr="00585044" w:rsidRDefault="00585044" w:rsidP="00585044">
      <w:pPr>
        <w:spacing w:line="259" w:lineRule="auto"/>
        <w:jc w:val="both"/>
        <w:rPr>
          <w:rFonts w:eastAsia="Calibri"/>
          <w:lang w:val="kk-KZ" w:eastAsia="en-US"/>
        </w:rPr>
      </w:pPr>
      <w:r w:rsidRPr="00585044">
        <w:rPr>
          <w:rFonts w:eastAsia="Calibri"/>
          <w:lang w:val="kk-KZ" w:eastAsia="en-US"/>
        </w:rPr>
        <w:t xml:space="preserve">Интербетин дәрілік препаратының жалпы сипаттамасына (ДПЖС) сәйкес, Денсаулық сақтау мамандарына тікелей арнау (ДСМТА) дайындалды. </w:t>
      </w:r>
    </w:p>
    <w:p w14:paraId="356B9786" w14:textId="77777777" w:rsidR="00585044" w:rsidRPr="00585044" w:rsidRDefault="00585044" w:rsidP="00585044">
      <w:pPr>
        <w:spacing w:line="259" w:lineRule="auto"/>
        <w:jc w:val="both"/>
        <w:rPr>
          <w:rFonts w:eastAsia="Calibri"/>
          <w:bCs/>
          <w:lang w:val="kk-KZ" w:eastAsia="en-US"/>
        </w:rPr>
      </w:pPr>
      <w:r w:rsidRPr="00585044">
        <w:rPr>
          <w:rFonts w:eastAsia="Calibri"/>
          <w:lang w:val="kk-KZ" w:eastAsia="en-US"/>
        </w:rPr>
        <w:t xml:space="preserve">Денсаулық сақтау жүйесінің қызметкерлеріне осы ДСМТА және ДПЖС мұқият танысып, дозалануына, дозаны титрлеуге қатысты ұсынымдарға ерекше көңіл бөлу ұсынылады. </w:t>
      </w:r>
      <w:r w:rsidRPr="00585044">
        <w:rPr>
          <w:rFonts w:eastAsia="Calibri"/>
          <w:bCs/>
          <w:lang w:val="kk-KZ" w:eastAsia="en-US"/>
        </w:rPr>
        <w:t>Интербетин препаратымен емдеуді жайылған склерозды емдеу тәжірибесі бар дәрігердің бақылауымен бастау керек.</w:t>
      </w:r>
    </w:p>
    <w:p w14:paraId="7BA0B489" w14:textId="77777777" w:rsidR="00585044" w:rsidRPr="00585044" w:rsidRDefault="00585044" w:rsidP="00585044">
      <w:pPr>
        <w:spacing w:line="259" w:lineRule="auto"/>
        <w:jc w:val="both"/>
        <w:rPr>
          <w:rFonts w:eastAsia="Calibri"/>
          <w:bCs/>
          <w:lang w:val="kk-KZ" w:eastAsia="en-US"/>
        </w:rPr>
      </w:pPr>
      <w:r w:rsidRPr="00585044">
        <w:rPr>
          <w:rFonts w:eastAsia="Calibri"/>
          <w:bCs/>
          <w:lang w:val="kk-KZ" w:eastAsia="en-US"/>
        </w:rPr>
        <w:t>Төменде неғұрлым маңызды ақпараттың қысқаша мазмұндамасы келтірілген.</w:t>
      </w:r>
    </w:p>
    <w:p w14:paraId="5F3AE933" w14:textId="77777777" w:rsidR="00585044" w:rsidRPr="00585044" w:rsidRDefault="00585044" w:rsidP="00585044">
      <w:pPr>
        <w:spacing w:line="259" w:lineRule="auto"/>
        <w:jc w:val="both"/>
        <w:rPr>
          <w:rFonts w:eastAsia="Calibri"/>
          <w:bCs/>
          <w:lang w:val="kk-KZ" w:eastAsia="en-US"/>
        </w:rPr>
      </w:pPr>
    </w:p>
    <w:p w14:paraId="72112610" w14:textId="77777777" w:rsidR="00585044" w:rsidRPr="00585044" w:rsidRDefault="00585044" w:rsidP="00585044">
      <w:pPr>
        <w:spacing w:line="259" w:lineRule="auto"/>
        <w:jc w:val="both"/>
        <w:rPr>
          <w:rFonts w:eastAsia="Calibri"/>
          <w:b/>
          <w:lang w:val="kk-KZ" w:eastAsia="en-US"/>
        </w:rPr>
      </w:pPr>
      <w:r w:rsidRPr="00585044">
        <w:rPr>
          <w:rFonts w:eastAsia="Calibri"/>
          <w:b/>
          <w:lang w:val="kk-KZ" w:eastAsia="en-US"/>
        </w:rPr>
        <w:t>Мөлшерлеу</w:t>
      </w:r>
    </w:p>
    <w:p w14:paraId="16EE1A2B" w14:textId="77777777" w:rsidR="00585044" w:rsidRPr="008230C7" w:rsidRDefault="00585044" w:rsidP="00585044">
      <w:pPr>
        <w:keepNext/>
        <w:jc w:val="both"/>
        <w:outlineLvl w:val="1"/>
        <w:rPr>
          <w:lang w:val="kk-KZ"/>
        </w:rPr>
      </w:pPr>
      <w:r w:rsidRPr="008230C7">
        <w:rPr>
          <w:lang w:val="kk-KZ"/>
        </w:rPr>
        <w:t>1 мл дайындалған ерітіндінің құрамындағы Интербетин препаратының ұсынылған дозасын 0,25 мг (8 млн. ХБ) күнара тері астына енгізеді.</w:t>
      </w:r>
    </w:p>
    <w:p w14:paraId="476E9BE4" w14:textId="77777777" w:rsidR="00585044" w:rsidRPr="008230C7" w:rsidRDefault="00585044" w:rsidP="00585044">
      <w:pPr>
        <w:keepNext/>
        <w:jc w:val="both"/>
        <w:outlineLvl w:val="1"/>
        <w:rPr>
          <w:lang w:val="kk-KZ"/>
        </w:rPr>
      </w:pPr>
      <w:r w:rsidRPr="008230C7">
        <w:rPr>
          <w:lang w:val="kk-KZ"/>
        </w:rPr>
        <w:t>Емдеудің басында дозаны титрлеу ұсынылады. Пациенттер күнара тері астына 62,5 мкг (0,25 мл) старттық дозадан бастауы және дозасын біртіндеп күнара енгізілетін 250 мкг (1,0 мл) дейін арттыруы қажет. Дозаны титрлеу кезеңі препараттың әркімдегі жеке көтерімділігіне қарай құбылуы мүмкін.</w:t>
      </w:r>
    </w:p>
    <w:p w14:paraId="795F6379" w14:textId="77777777" w:rsidR="00585044" w:rsidRPr="008230C7" w:rsidRDefault="00585044" w:rsidP="00585044">
      <w:pPr>
        <w:rPr>
          <w:lang w:val="kk-KZ"/>
        </w:rPr>
      </w:pPr>
      <w:r w:rsidRPr="008230C7">
        <w:rPr>
          <w:lang w:val="kk-KZ"/>
        </w:rPr>
        <w:t>Дозаны</w:t>
      </w:r>
      <w:r w:rsidRPr="008230C7">
        <w:t xml:space="preserve"> титр</w:t>
      </w:r>
      <w:r w:rsidRPr="008230C7">
        <w:rPr>
          <w:lang w:val="kk-KZ"/>
        </w:rPr>
        <w:t>леу сызбасы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07"/>
        <w:gridCol w:w="3123"/>
      </w:tblGrid>
      <w:tr w:rsidR="00585044" w:rsidRPr="008230C7" w14:paraId="4989570D" w14:textId="77777777" w:rsidTr="00453F28">
        <w:tc>
          <w:tcPr>
            <w:tcW w:w="3190" w:type="dxa"/>
            <w:vAlign w:val="center"/>
          </w:tcPr>
          <w:p w14:paraId="5B781D81" w14:textId="77777777" w:rsidR="00585044" w:rsidRPr="008230C7" w:rsidRDefault="00585044" w:rsidP="00453F28">
            <w:pPr>
              <w:jc w:val="center"/>
              <w:rPr>
                <w:lang w:val="kk-KZ"/>
              </w:rPr>
            </w:pPr>
            <w:r w:rsidRPr="008230C7">
              <w:rPr>
                <w:lang w:val="kk-KZ"/>
              </w:rPr>
              <w:t>Емделу күні</w:t>
            </w:r>
          </w:p>
        </w:tc>
        <w:tc>
          <w:tcPr>
            <w:tcW w:w="3190" w:type="dxa"/>
            <w:vAlign w:val="center"/>
          </w:tcPr>
          <w:p w14:paraId="2A10C424" w14:textId="77777777" w:rsidR="00585044" w:rsidRPr="008230C7" w:rsidRDefault="00585044" w:rsidP="00453F28">
            <w:pPr>
              <w:jc w:val="center"/>
            </w:pPr>
            <w:r w:rsidRPr="008230C7">
              <w:t>Доза, мкг</w:t>
            </w:r>
          </w:p>
        </w:tc>
        <w:tc>
          <w:tcPr>
            <w:tcW w:w="3191" w:type="dxa"/>
            <w:vAlign w:val="center"/>
          </w:tcPr>
          <w:p w14:paraId="60417098" w14:textId="77777777" w:rsidR="00585044" w:rsidRPr="008230C7" w:rsidRDefault="00585044" w:rsidP="00453F28">
            <w:pPr>
              <w:jc w:val="center"/>
            </w:pPr>
            <w:r w:rsidRPr="008230C7">
              <w:t>Препарат</w:t>
            </w:r>
            <w:r w:rsidRPr="008230C7">
              <w:rPr>
                <w:lang w:val="kk-KZ"/>
              </w:rPr>
              <w:t xml:space="preserve"> көлемі</w:t>
            </w:r>
            <w:r w:rsidRPr="008230C7">
              <w:t>, мл</w:t>
            </w:r>
          </w:p>
        </w:tc>
      </w:tr>
      <w:tr w:rsidR="00585044" w:rsidRPr="008230C7" w14:paraId="0CAFD278" w14:textId="77777777" w:rsidTr="00453F28">
        <w:tc>
          <w:tcPr>
            <w:tcW w:w="3190" w:type="dxa"/>
            <w:vAlign w:val="center"/>
          </w:tcPr>
          <w:p w14:paraId="34DD73C7" w14:textId="77777777" w:rsidR="00585044" w:rsidRPr="008230C7" w:rsidRDefault="00585044" w:rsidP="00453F28">
            <w:pPr>
              <w:jc w:val="center"/>
            </w:pPr>
            <w:r w:rsidRPr="008230C7">
              <w:t>1, 3, 5</w:t>
            </w:r>
          </w:p>
        </w:tc>
        <w:tc>
          <w:tcPr>
            <w:tcW w:w="3190" w:type="dxa"/>
            <w:vAlign w:val="center"/>
          </w:tcPr>
          <w:p w14:paraId="2EAF5BE8" w14:textId="77777777" w:rsidR="00585044" w:rsidRPr="008230C7" w:rsidRDefault="00585044" w:rsidP="00453F28">
            <w:pPr>
              <w:jc w:val="center"/>
            </w:pPr>
            <w:r w:rsidRPr="008230C7">
              <w:t>62,5</w:t>
            </w:r>
          </w:p>
        </w:tc>
        <w:tc>
          <w:tcPr>
            <w:tcW w:w="3191" w:type="dxa"/>
            <w:vAlign w:val="center"/>
          </w:tcPr>
          <w:p w14:paraId="1865991E" w14:textId="77777777" w:rsidR="00585044" w:rsidRPr="008230C7" w:rsidRDefault="00585044" w:rsidP="00453F28">
            <w:pPr>
              <w:jc w:val="center"/>
            </w:pPr>
            <w:r w:rsidRPr="008230C7">
              <w:t>0,25</w:t>
            </w:r>
          </w:p>
        </w:tc>
      </w:tr>
      <w:tr w:rsidR="00585044" w:rsidRPr="008230C7" w14:paraId="260A36B0" w14:textId="77777777" w:rsidTr="00453F28">
        <w:tc>
          <w:tcPr>
            <w:tcW w:w="3190" w:type="dxa"/>
            <w:vAlign w:val="center"/>
          </w:tcPr>
          <w:p w14:paraId="5029EC68" w14:textId="77777777" w:rsidR="00585044" w:rsidRPr="008230C7" w:rsidRDefault="00585044" w:rsidP="00453F28">
            <w:pPr>
              <w:jc w:val="center"/>
            </w:pPr>
            <w:r w:rsidRPr="008230C7">
              <w:t>7, 9, 11</w:t>
            </w:r>
          </w:p>
        </w:tc>
        <w:tc>
          <w:tcPr>
            <w:tcW w:w="3190" w:type="dxa"/>
            <w:vAlign w:val="center"/>
          </w:tcPr>
          <w:p w14:paraId="735F2F10" w14:textId="77777777" w:rsidR="00585044" w:rsidRPr="008230C7" w:rsidRDefault="00585044" w:rsidP="00453F28">
            <w:pPr>
              <w:jc w:val="center"/>
            </w:pPr>
            <w:r w:rsidRPr="008230C7">
              <w:t>125</w:t>
            </w:r>
          </w:p>
        </w:tc>
        <w:tc>
          <w:tcPr>
            <w:tcW w:w="3191" w:type="dxa"/>
            <w:vAlign w:val="center"/>
          </w:tcPr>
          <w:p w14:paraId="259D7E7D" w14:textId="77777777" w:rsidR="00585044" w:rsidRPr="008230C7" w:rsidRDefault="00585044" w:rsidP="00453F28">
            <w:pPr>
              <w:jc w:val="center"/>
            </w:pPr>
            <w:r w:rsidRPr="008230C7">
              <w:t>0,5</w:t>
            </w:r>
          </w:p>
        </w:tc>
      </w:tr>
      <w:tr w:rsidR="00585044" w:rsidRPr="008230C7" w14:paraId="3EE7E1D3" w14:textId="77777777" w:rsidTr="00453F28">
        <w:tc>
          <w:tcPr>
            <w:tcW w:w="3190" w:type="dxa"/>
            <w:vAlign w:val="center"/>
          </w:tcPr>
          <w:p w14:paraId="70E0B708" w14:textId="77777777" w:rsidR="00585044" w:rsidRPr="008230C7" w:rsidRDefault="00585044" w:rsidP="00453F28">
            <w:pPr>
              <w:jc w:val="center"/>
            </w:pPr>
            <w:r w:rsidRPr="008230C7">
              <w:t>13, 15, 17</w:t>
            </w:r>
          </w:p>
        </w:tc>
        <w:tc>
          <w:tcPr>
            <w:tcW w:w="3190" w:type="dxa"/>
            <w:vAlign w:val="center"/>
          </w:tcPr>
          <w:p w14:paraId="77DA977A" w14:textId="77777777" w:rsidR="00585044" w:rsidRPr="008230C7" w:rsidRDefault="00585044" w:rsidP="00453F28">
            <w:pPr>
              <w:jc w:val="center"/>
            </w:pPr>
            <w:r w:rsidRPr="008230C7">
              <w:t>187,5</w:t>
            </w:r>
          </w:p>
        </w:tc>
        <w:tc>
          <w:tcPr>
            <w:tcW w:w="3191" w:type="dxa"/>
            <w:vAlign w:val="center"/>
          </w:tcPr>
          <w:p w14:paraId="17F220FA" w14:textId="77777777" w:rsidR="00585044" w:rsidRPr="008230C7" w:rsidRDefault="00585044" w:rsidP="00453F28">
            <w:pPr>
              <w:jc w:val="center"/>
            </w:pPr>
            <w:r w:rsidRPr="008230C7">
              <w:t>0,75</w:t>
            </w:r>
          </w:p>
        </w:tc>
      </w:tr>
      <w:tr w:rsidR="00585044" w:rsidRPr="008230C7" w14:paraId="6EBD349B" w14:textId="77777777" w:rsidTr="00453F28">
        <w:tc>
          <w:tcPr>
            <w:tcW w:w="3190" w:type="dxa"/>
            <w:vAlign w:val="center"/>
          </w:tcPr>
          <w:p w14:paraId="60CF2EAC" w14:textId="77777777" w:rsidR="00585044" w:rsidRPr="008230C7" w:rsidRDefault="00585044" w:rsidP="00453F28">
            <w:pPr>
              <w:jc w:val="center"/>
            </w:pPr>
            <w:r w:rsidRPr="008230C7">
              <w:t xml:space="preserve">19, 21, 23 </w:t>
            </w:r>
            <w:r w:rsidRPr="008230C7">
              <w:rPr>
                <w:lang w:val="kk-KZ"/>
              </w:rPr>
              <w:t>және т.с.с.</w:t>
            </w:r>
            <w:r w:rsidRPr="008230C7">
              <w:t>.</w:t>
            </w:r>
          </w:p>
        </w:tc>
        <w:tc>
          <w:tcPr>
            <w:tcW w:w="3190" w:type="dxa"/>
            <w:vAlign w:val="center"/>
          </w:tcPr>
          <w:p w14:paraId="073E6038" w14:textId="77777777" w:rsidR="00585044" w:rsidRPr="008230C7" w:rsidRDefault="00585044" w:rsidP="00453F28">
            <w:pPr>
              <w:jc w:val="center"/>
            </w:pPr>
            <w:r w:rsidRPr="008230C7">
              <w:t>250</w:t>
            </w:r>
          </w:p>
        </w:tc>
        <w:tc>
          <w:tcPr>
            <w:tcW w:w="3191" w:type="dxa"/>
            <w:vAlign w:val="center"/>
          </w:tcPr>
          <w:p w14:paraId="7EFDEEC0" w14:textId="77777777" w:rsidR="00585044" w:rsidRPr="008230C7" w:rsidRDefault="00585044" w:rsidP="00453F28">
            <w:pPr>
              <w:jc w:val="center"/>
            </w:pPr>
            <w:r w:rsidRPr="008230C7">
              <w:t>1</w:t>
            </w:r>
          </w:p>
        </w:tc>
      </w:tr>
    </w:tbl>
    <w:p w14:paraId="6B981E0F" w14:textId="77777777" w:rsidR="00585044" w:rsidRPr="008230C7" w:rsidRDefault="00585044" w:rsidP="00585044">
      <w:pPr>
        <w:jc w:val="both"/>
        <w:rPr>
          <w:lang w:val="kk-KZ"/>
        </w:rPr>
      </w:pPr>
      <w:r w:rsidRPr="008230C7">
        <w:rPr>
          <w:lang w:val="kk-KZ"/>
        </w:rPr>
        <w:t>* титрлеу сызбасын елеулі жағымсыз реакциялар пайда болғанда түзетуге болады.</w:t>
      </w:r>
    </w:p>
    <w:p w14:paraId="45C61A1D" w14:textId="77777777" w:rsidR="00585044" w:rsidRPr="008230C7" w:rsidRDefault="00585044" w:rsidP="00585044">
      <w:pPr>
        <w:jc w:val="both"/>
        <w:rPr>
          <w:color w:val="FF0000"/>
          <w:lang w:val="kk-KZ"/>
        </w:rPr>
      </w:pPr>
      <w:r w:rsidRPr="008230C7">
        <w:rPr>
          <w:lang w:val="kk-KZ"/>
        </w:rPr>
        <w:t xml:space="preserve">Препараттың оңтайлы дозасы толық анықталмаған. </w:t>
      </w:r>
    </w:p>
    <w:p w14:paraId="5BE49D54" w14:textId="77777777" w:rsidR="00585044" w:rsidRPr="008230C7" w:rsidRDefault="00585044" w:rsidP="00585044">
      <w:pPr>
        <w:jc w:val="both"/>
        <w:rPr>
          <w:lang w:val="kk-KZ"/>
        </w:rPr>
      </w:pPr>
      <w:r w:rsidRPr="008230C7">
        <w:rPr>
          <w:lang w:val="kk-KZ"/>
        </w:rPr>
        <w:t xml:space="preserve">Препараттың инъекциясын өткізіп алған жағдайда, мүмкін бола салысымен,  инъекцияны бұрынғы режимде (күнара) жалғастыруға жол беріледі. Өткізіп алғанның орнын толтыру үшін екі есе дозаны енгізбеңіз. </w:t>
      </w:r>
    </w:p>
    <w:p w14:paraId="6C7494B3"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 xml:space="preserve">Қазіргі уақытта интерферон бета-1b-мен емнің ұзақтығы туралы мәселе шешілмеген күйде қалып отыр. </w:t>
      </w:r>
    </w:p>
    <w:p w14:paraId="4F799A87"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 xml:space="preserve">Қолда бар деректер бойынша қайталанған-ремитирлеуші жайылған склерозы бар пациенттерде интерферон бета-1b-мен емдеу курсы  5 жылға дейін құрады,  ал салдарлы-үдемелі жайылған склерозы бар науқастарда курс 3 жылға дейін құрады. Қайталанған-ремиттирлеуші жайылған склерозы бар пациенттерде интерферон бета-1b алғашқы 2 жылы емдеу барысында тиімділігі көрінді. Емдеудің кейінгі 3 жылы туралы қолжетімді мәліметтер интерферон бета-1b-мен емдеудің ұзақ уақытқа созылған барлық емдеу кезеңі бойына тиімділігі туралы мәліметтерге сәйкес келеді.  </w:t>
      </w:r>
    </w:p>
    <w:p w14:paraId="0729FE7E"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 xml:space="preserve">Жайылған склерозға күдіктенген жағдайда, алғашқы клиникалық көріністері бар пациенттерде интерферон бета-1b-мен 5 жыл емдеу ішінде нақты жайылған  склероздың дамуы айтарлықтай баяулады.  </w:t>
      </w:r>
    </w:p>
    <w:p w14:paraId="7114EC41"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Анамнезінде соңғы 2 жыл ішінде кемінде 2 өршуі болған қайталанған-ремиттирлеуші жайылған склерозы бар пациенттерді немесе соңғы 2 жыл ішінде аурудың өршуі білінбеген салдарлы-үдемелі склерозы бар немесе пациенттерді Интербетин препаратымен емдеу ұсынылмайды.</w:t>
      </w:r>
    </w:p>
    <w:p w14:paraId="4AB87A91" w14:textId="77777777" w:rsidR="00585044" w:rsidRPr="008230C7" w:rsidRDefault="00585044" w:rsidP="00585044">
      <w:pPr>
        <w:spacing w:line="259" w:lineRule="auto"/>
        <w:jc w:val="both"/>
        <w:rPr>
          <w:rFonts w:eastAsia="Calibri"/>
          <w:lang w:val="kk-KZ" w:eastAsia="en-US"/>
        </w:rPr>
      </w:pPr>
    </w:p>
    <w:p w14:paraId="2242D762" w14:textId="77777777" w:rsidR="00585044" w:rsidRPr="008230C7" w:rsidRDefault="00585044" w:rsidP="00585044">
      <w:pPr>
        <w:spacing w:line="259" w:lineRule="auto"/>
        <w:jc w:val="both"/>
        <w:rPr>
          <w:rFonts w:eastAsia="Calibri"/>
          <w:b/>
          <w:lang w:val="kk-KZ" w:eastAsia="en-US"/>
        </w:rPr>
      </w:pPr>
      <w:r w:rsidRPr="008230C7">
        <w:rPr>
          <w:rFonts w:eastAsia="Calibri"/>
          <w:b/>
          <w:lang w:val="kk-KZ" w:eastAsia="en-US"/>
        </w:rPr>
        <w:lastRenderedPageBreak/>
        <w:t>Жағымсыз реакциялар туралы ақпарат</w:t>
      </w:r>
    </w:p>
    <w:p w14:paraId="794D81BF"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 xml:space="preserve">Жағымсыз реакциялардың пайда болуы әдетте емдеудің бас кезіне тура келеді. Олардың пайда болу жиілігі уақыт өте келе төмендейді. </w:t>
      </w:r>
    </w:p>
    <w:p w14:paraId="2D77709A"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 xml:space="preserve">Интербетин препаратының фармакологиялық әсерінен туындайтын тұмау тәрізді симптомдардың кешені (қызба, қалтырау, артралгия, жалпы дімкәстану, тершеңдік, бас ауыруы, және миалгия) анағұрлым жиі туындауы мүмкін. Пациенттерде көбінесе интерферон бета-lb 0,25 мг (8 млн. ХБ) дозада енгізгеннен кейін енгізу орнындағы реакциялар пайда болады (мысалы, қызару, ісіну, тері түсінің өзгеруі, қабыну, ауыру, аса жоғары сезімталдық, некроз және спецификалық емес реакциялар). </w:t>
      </w:r>
    </w:p>
    <w:p w14:paraId="5A27934B"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Интерферон бета-lb көтерімділігін жақсарту үшін емдеудің басында дозасын титрлеу ұсынылады. Тұмау тәрізді симптомдардың айқындығын қабынуға қарсы стероидты емес препараттарды қолдану арқылы әлсіретуге болады. Автоинжекторды пайдалану инъекция орнындағы реакциялардың туындау жиілігін төмендетуге мүмкіндік береді.</w:t>
      </w:r>
    </w:p>
    <w:p w14:paraId="3B4A8BCC" w14:textId="77777777" w:rsidR="00585044" w:rsidRPr="008230C7" w:rsidRDefault="00585044" w:rsidP="00585044">
      <w:pPr>
        <w:spacing w:line="259" w:lineRule="auto"/>
        <w:jc w:val="both"/>
        <w:rPr>
          <w:rFonts w:eastAsia="Calibri"/>
          <w:lang w:val="kk-KZ" w:eastAsia="en-US"/>
        </w:rPr>
      </w:pPr>
    </w:p>
    <w:p w14:paraId="35E1EC00" w14:textId="77777777" w:rsidR="00585044" w:rsidRPr="008230C7" w:rsidRDefault="00585044" w:rsidP="00585044">
      <w:pPr>
        <w:spacing w:line="259" w:lineRule="auto"/>
        <w:jc w:val="both"/>
        <w:rPr>
          <w:rFonts w:eastAsia="Calibri"/>
          <w:b/>
          <w:lang w:val="kk-KZ" w:eastAsia="en-US"/>
        </w:rPr>
      </w:pPr>
      <w:r w:rsidRPr="008230C7">
        <w:rPr>
          <w:rFonts w:eastAsia="Calibri"/>
          <w:b/>
          <w:lang w:val="kk-KZ" w:eastAsia="en-US"/>
        </w:rPr>
        <w:t>Болжанатын жағымсыз реакциялар туралы хабарламалар</w:t>
      </w:r>
    </w:p>
    <w:p w14:paraId="37277C24"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 xml:space="preserve">Дәрілік препараттың «пайда – қауіп» арақатынасын үздіксіз мониторингтеуді қамтамасыз ету мақсатында дәрілік препаратты тіркеуден кейін күдік тудыратын жағымсыз реакциялар туралы хабарлау маңызды. Медициналық қызметкерлерге жағымсыз реакциялар туралы хабарламалар жинаудың ұлттық жүйесі арқылы дәрілік препараттың кез келген күдікті жағымсыз реакциялары туралы мәлімдеу кеңесі беріледі: </w:t>
      </w:r>
    </w:p>
    <w:p w14:paraId="00D23724" w14:textId="77777777" w:rsidR="00585044" w:rsidRPr="008230C7" w:rsidRDefault="00585044" w:rsidP="00585044">
      <w:pPr>
        <w:spacing w:line="259" w:lineRule="auto"/>
        <w:jc w:val="both"/>
        <w:rPr>
          <w:rFonts w:eastAsia="Calibri"/>
          <w:bCs/>
          <w:lang w:val="kk-KZ" w:eastAsia="en-US"/>
        </w:rPr>
      </w:pPr>
      <w:r w:rsidRPr="008230C7">
        <w:rPr>
          <w:rFonts w:eastAsia="Calibri"/>
          <w:bCs/>
          <w:lang w:val="kk-KZ" w:eastAsia="en-US"/>
        </w:rPr>
        <w:t xml:space="preserve">Қазақстан Республикасы Денсаулық сақтау министрлігінің </w:t>
      </w:r>
      <w:r w:rsidRPr="008230C7">
        <w:rPr>
          <w:rFonts w:eastAsia="Calibri"/>
          <w:bCs/>
          <w:iCs/>
          <w:lang w:val="kk-KZ" w:eastAsia="en-US"/>
        </w:rPr>
        <w:t>Медициналық және фармацевтикалық бақылау комитеті</w:t>
      </w:r>
      <w:r w:rsidRPr="008230C7">
        <w:rPr>
          <w:rFonts w:eastAsia="Calibri"/>
          <w:bCs/>
          <w:lang w:val="kk-KZ" w:eastAsia="en-US"/>
        </w:rPr>
        <w:t xml:space="preserve"> «Дәрілік заттарды және медициналық бұйымдарды сараптау ұлттық орталығы» ШЖҚ РМК </w:t>
      </w:r>
    </w:p>
    <w:p w14:paraId="1B9A0D30" w14:textId="77777777" w:rsidR="00585044" w:rsidRPr="008230C7" w:rsidRDefault="00585044" w:rsidP="00585044">
      <w:pPr>
        <w:spacing w:line="259" w:lineRule="auto"/>
        <w:jc w:val="both"/>
        <w:rPr>
          <w:rFonts w:eastAsia="Calibri"/>
          <w:bCs/>
          <w:i/>
          <w:u w:val="single"/>
          <w:lang w:val="kk-KZ" w:eastAsia="en-US"/>
        </w:rPr>
      </w:pPr>
      <w:r w:rsidRPr="008230C7">
        <w:rPr>
          <w:rFonts w:eastAsia="Calibri"/>
          <w:bCs/>
          <w:lang w:eastAsia="en-US"/>
        </w:rPr>
        <w:fldChar w:fldCharType="begin"/>
      </w:r>
      <w:r w:rsidRPr="008230C7">
        <w:rPr>
          <w:rFonts w:eastAsia="Calibri"/>
          <w:bCs/>
          <w:lang w:val="kk-KZ" w:eastAsia="en-US"/>
        </w:rPr>
        <w:instrText>HYPERLINK "http://www.ndda.kz"</w:instrText>
      </w:r>
      <w:r w:rsidRPr="008230C7">
        <w:rPr>
          <w:rFonts w:eastAsia="Calibri"/>
          <w:bCs/>
          <w:lang w:eastAsia="en-US"/>
        </w:rPr>
      </w:r>
      <w:r w:rsidRPr="008230C7">
        <w:rPr>
          <w:rFonts w:eastAsia="Calibri"/>
          <w:bCs/>
          <w:lang w:eastAsia="en-US"/>
        </w:rPr>
        <w:fldChar w:fldCharType="separate"/>
      </w:r>
      <w:r w:rsidRPr="008230C7">
        <w:rPr>
          <w:rStyle w:val="ac"/>
          <w:rFonts w:eastAsia="Calibri"/>
          <w:bCs/>
          <w:lang w:val="kk-KZ" w:eastAsia="en-US"/>
        </w:rPr>
        <w:t>http://www.ndda.kz</w:t>
      </w:r>
      <w:r w:rsidRPr="008230C7">
        <w:rPr>
          <w:rFonts w:eastAsia="Calibri"/>
          <w:bCs/>
          <w:lang w:val="kk-KZ" w:eastAsia="en-US"/>
        </w:rPr>
        <w:fldChar w:fldCharType="end"/>
      </w:r>
    </w:p>
    <w:p w14:paraId="7FF8AB40" w14:textId="77777777" w:rsidR="00585044" w:rsidRPr="008230C7" w:rsidRDefault="00585044" w:rsidP="00585044">
      <w:pPr>
        <w:spacing w:line="259" w:lineRule="auto"/>
        <w:jc w:val="both"/>
        <w:rPr>
          <w:rFonts w:eastAsia="Calibri"/>
          <w:lang w:val="kk-KZ" w:eastAsia="en-US"/>
        </w:rPr>
      </w:pPr>
    </w:p>
    <w:p w14:paraId="01CEA02A" w14:textId="77777777" w:rsidR="00585044" w:rsidRPr="008230C7" w:rsidRDefault="00585044" w:rsidP="00585044">
      <w:pPr>
        <w:jc w:val="both"/>
        <w:rPr>
          <w:rFonts w:eastAsia="Calibri"/>
          <w:lang w:val="kk-KZ" w:eastAsia="en-US"/>
        </w:rPr>
      </w:pPr>
      <w:r w:rsidRPr="008230C7">
        <w:rPr>
          <w:rFonts w:eastAsia="Calibri"/>
          <w:lang w:val="kk-KZ" w:eastAsia="en-US"/>
        </w:rPr>
        <w:t>Жағымсыз реакциялар туралы «ҚФК» ЖШС, фармакоқадағалау бөліміне хабарлау керек:</w:t>
      </w:r>
    </w:p>
    <w:p w14:paraId="6EE32852" w14:textId="77777777" w:rsidR="00585044" w:rsidRPr="008230C7" w:rsidRDefault="00585044" w:rsidP="00585044">
      <w:pPr>
        <w:spacing w:line="259" w:lineRule="auto"/>
        <w:jc w:val="both"/>
        <w:rPr>
          <w:rFonts w:eastAsia="Calibri"/>
          <w:lang w:val="kk-KZ" w:eastAsia="en-US"/>
        </w:rPr>
      </w:pPr>
      <w:r w:rsidRPr="008230C7">
        <w:rPr>
          <w:rFonts w:eastAsia="Calibri"/>
          <w:lang w:val="kk-KZ" w:eastAsia="en-US"/>
        </w:rPr>
        <w:t>«Қарағанды фармацевтикалық кешені» ЖШС Қазақстан Республикаcы</w:t>
      </w:r>
    </w:p>
    <w:p w14:paraId="1B8ED36B" w14:textId="77777777" w:rsidR="00585044" w:rsidRPr="008230C7" w:rsidRDefault="00585044" w:rsidP="00585044">
      <w:pPr>
        <w:spacing w:line="259" w:lineRule="auto"/>
        <w:jc w:val="both"/>
        <w:rPr>
          <w:rFonts w:eastAsia="Calibri"/>
          <w:lang w:eastAsia="en-US"/>
        </w:rPr>
      </w:pPr>
      <w:r w:rsidRPr="008230C7">
        <w:rPr>
          <w:rFonts w:eastAsia="Calibri"/>
          <w:lang w:eastAsia="en-US"/>
        </w:rPr>
        <w:t>100009, Қарағанды қ., Ғазалиев к-</w:t>
      </w:r>
      <w:proofErr w:type="spellStart"/>
      <w:r w:rsidRPr="008230C7">
        <w:rPr>
          <w:rFonts w:eastAsia="Calibri"/>
          <w:lang w:eastAsia="en-US"/>
        </w:rPr>
        <w:t>сі</w:t>
      </w:r>
      <w:proofErr w:type="spellEnd"/>
      <w:r w:rsidRPr="008230C7">
        <w:rPr>
          <w:rFonts w:eastAsia="Calibri"/>
          <w:lang w:eastAsia="en-US"/>
        </w:rPr>
        <w:t xml:space="preserve">, 16 </w:t>
      </w:r>
      <w:r w:rsidRPr="008230C7">
        <w:rPr>
          <w:rFonts w:eastAsia="Calibri"/>
          <w:lang w:val="kk-KZ" w:eastAsia="en-US"/>
        </w:rPr>
        <w:t>құр</w:t>
      </w:r>
      <w:r w:rsidRPr="008230C7">
        <w:rPr>
          <w:rFonts w:eastAsia="Calibri"/>
          <w:lang w:eastAsia="en-US"/>
        </w:rPr>
        <w:t>.</w:t>
      </w:r>
    </w:p>
    <w:p w14:paraId="51518391" w14:textId="77777777" w:rsidR="00585044" w:rsidRPr="008230C7" w:rsidRDefault="00585044" w:rsidP="00585044">
      <w:pPr>
        <w:spacing w:line="259" w:lineRule="auto"/>
        <w:jc w:val="both"/>
        <w:rPr>
          <w:rFonts w:eastAsia="Calibri"/>
          <w:lang w:eastAsia="en-US"/>
        </w:rPr>
      </w:pPr>
      <w:r w:rsidRPr="008230C7">
        <w:rPr>
          <w:rFonts w:eastAsia="Calibri"/>
          <w:lang w:eastAsia="en-US"/>
        </w:rPr>
        <w:t xml:space="preserve">Телефон </w:t>
      </w:r>
      <w:r w:rsidRPr="008230C7">
        <w:rPr>
          <w:rFonts w:eastAsia="Calibri"/>
          <w:lang w:val="kk-KZ" w:eastAsia="en-US"/>
        </w:rPr>
        <w:t>нөмірі</w:t>
      </w:r>
      <w:r w:rsidRPr="008230C7">
        <w:rPr>
          <w:rFonts w:eastAsia="Calibri"/>
          <w:lang w:eastAsia="en-US"/>
        </w:rPr>
        <w:t xml:space="preserve"> (7212) 90-80-43 факс (7212) 90-65-49</w:t>
      </w:r>
    </w:p>
    <w:p w14:paraId="3F312765" w14:textId="77777777" w:rsidR="00585044" w:rsidRPr="008230C7" w:rsidRDefault="00585044" w:rsidP="00585044">
      <w:pPr>
        <w:spacing w:line="259" w:lineRule="auto"/>
        <w:jc w:val="both"/>
        <w:rPr>
          <w:rFonts w:eastAsia="Calibri"/>
          <w:lang w:eastAsia="en-US"/>
        </w:rPr>
      </w:pPr>
      <w:proofErr w:type="spellStart"/>
      <w:r w:rsidRPr="008230C7">
        <w:rPr>
          <w:rFonts w:eastAsia="Calibri"/>
          <w:lang w:eastAsia="en-US"/>
        </w:rPr>
        <w:t>Электрондық</w:t>
      </w:r>
      <w:proofErr w:type="spellEnd"/>
      <w:r w:rsidRPr="008230C7">
        <w:rPr>
          <w:rFonts w:eastAsia="Calibri"/>
          <w:lang w:eastAsia="en-US"/>
        </w:rPr>
        <w:t xml:space="preserve"> </w:t>
      </w:r>
      <w:proofErr w:type="spellStart"/>
      <w:r w:rsidRPr="008230C7">
        <w:rPr>
          <w:rFonts w:eastAsia="Calibri"/>
          <w:lang w:eastAsia="en-US"/>
        </w:rPr>
        <w:t>пошта</w:t>
      </w:r>
      <w:proofErr w:type="spellEnd"/>
      <w:r w:rsidRPr="008230C7">
        <w:rPr>
          <w:rFonts w:eastAsia="Calibri"/>
          <w:lang w:eastAsia="en-US"/>
        </w:rPr>
        <w:t xml:space="preserve"> </w:t>
      </w:r>
      <w:proofErr w:type="spellStart"/>
      <w:r w:rsidRPr="008230C7">
        <w:rPr>
          <w:rFonts w:eastAsia="Calibri"/>
          <w:lang w:eastAsia="en-US"/>
        </w:rPr>
        <w:t>мекенжайы</w:t>
      </w:r>
      <w:proofErr w:type="spellEnd"/>
      <w:r w:rsidRPr="008230C7">
        <w:rPr>
          <w:rFonts w:eastAsia="Calibri"/>
          <w:lang w:eastAsia="en-US"/>
        </w:rPr>
        <w:t xml:space="preserve"> medinfo@kphk.kz.</w:t>
      </w:r>
    </w:p>
    <w:p w14:paraId="5BC11FBD" w14:textId="77777777" w:rsidR="00585044" w:rsidRPr="008230C7" w:rsidRDefault="00585044" w:rsidP="00585044">
      <w:pPr>
        <w:spacing w:line="259" w:lineRule="auto"/>
        <w:jc w:val="both"/>
        <w:rPr>
          <w:rFonts w:eastAsia="Calibri"/>
          <w:lang w:eastAsia="en-US"/>
        </w:rPr>
      </w:pPr>
    </w:p>
    <w:p w14:paraId="1AEB6B88" w14:textId="77777777" w:rsidR="00585044" w:rsidRPr="008230C7" w:rsidRDefault="00585044" w:rsidP="00585044">
      <w:pPr>
        <w:spacing w:line="259" w:lineRule="auto"/>
        <w:jc w:val="both"/>
        <w:rPr>
          <w:rFonts w:eastAsia="Calibri"/>
          <w:b/>
          <w:lang w:eastAsia="en-US"/>
        </w:rPr>
      </w:pPr>
      <w:r w:rsidRPr="008230C7">
        <w:rPr>
          <w:rFonts w:eastAsia="Calibri"/>
          <w:b/>
          <w:lang w:eastAsia="en-US"/>
        </w:rPr>
        <w:t>Мекен-</w:t>
      </w:r>
      <w:proofErr w:type="spellStart"/>
      <w:r w:rsidRPr="008230C7">
        <w:rPr>
          <w:rFonts w:eastAsia="Calibri"/>
          <w:b/>
          <w:lang w:eastAsia="en-US"/>
        </w:rPr>
        <w:t>жайы</w:t>
      </w:r>
      <w:proofErr w:type="spellEnd"/>
      <w:r w:rsidRPr="008230C7">
        <w:rPr>
          <w:rFonts w:eastAsia="Calibri"/>
          <w:b/>
          <w:lang w:eastAsia="en-US"/>
        </w:rPr>
        <w:t xml:space="preserve"> </w:t>
      </w:r>
      <w:proofErr w:type="spellStart"/>
      <w:r w:rsidRPr="008230C7">
        <w:rPr>
          <w:rFonts w:eastAsia="Calibri"/>
          <w:b/>
          <w:lang w:eastAsia="en-US"/>
        </w:rPr>
        <w:t>және</w:t>
      </w:r>
      <w:proofErr w:type="spellEnd"/>
      <w:r w:rsidRPr="008230C7">
        <w:rPr>
          <w:rFonts w:eastAsia="Calibri"/>
          <w:b/>
          <w:lang w:eastAsia="en-US"/>
        </w:rPr>
        <w:t xml:space="preserve"> телефон </w:t>
      </w:r>
      <w:proofErr w:type="spellStart"/>
      <w:r w:rsidRPr="008230C7">
        <w:rPr>
          <w:rFonts w:eastAsia="Calibri"/>
          <w:b/>
          <w:lang w:eastAsia="en-US"/>
        </w:rPr>
        <w:t>нөмірі</w:t>
      </w:r>
      <w:proofErr w:type="spellEnd"/>
      <w:r w:rsidRPr="008230C7">
        <w:rPr>
          <w:rFonts w:eastAsia="Calibri"/>
          <w:b/>
          <w:lang w:eastAsia="en-US"/>
        </w:rPr>
        <w:t xml:space="preserve"> «</w:t>
      </w:r>
      <w:r w:rsidRPr="008230C7">
        <w:rPr>
          <w:rFonts w:eastAsia="Calibri"/>
          <w:b/>
          <w:lang w:val="kk-KZ" w:eastAsia="en-US"/>
        </w:rPr>
        <w:t>Қ</w:t>
      </w:r>
      <w:r w:rsidRPr="008230C7">
        <w:rPr>
          <w:rFonts w:eastAsia="Calibri"/>
          <w:b/>
          <w:lang w:eastAsia="en-US"/>
        </w:rPr>
        <w:t>ФК»</w:t>
      </w:r>
      <w:r w:rsidRPr="008230C7">
        <w:rPr>
          <w:rFonts w:eastAsia="Calibri"/>
          <w:lang w:eastAsia="en-US"/>
        </w:rPr>
        <w:t xml:space="preserve"> </w:t>
      </w:r>
      <w:r w:rsidRPr="008230C7">
        <w:rPr>
          <w:rFonts w:eastAsia="Calibri"/>
          <w:b/>
          <w:lang w:eastAsia="en-US"/>
        </w:rPr>
        <w:t>ЖШС</w:t>
      </w:r>
    </w:p>
    <w:p w14:paraId="5488FA06" w14:textId="77777777" w:rsidR="00585044" w:rsidRPr="008230C7" w:rsidRDefault="00585044" w:rsidP="00585044">
      <w:pPr>
        <w:spacing w:line="259" w:lineRule="auto"/>
        <w:jc w:val="both"/>
        <w:rPr>
          <w:rFonts w:eastAsia="Calibri"/>
          <w:lang w:eastAsia="en-US"/>
        </w:rPr>
      </w:pPr>
      <w:r w:rsidRPr="008230C7">
        <w:rPr>
          <w:rFonts w:eastAsia="Calibri"/>
          <w:lang w:eastAsia="en-US"/>
        </w:rPr>
        <w:t xml:space="preserve">Егер </w:t>
      </w:r>
      <w:proofErr w:type="spellStart"/>
      <w:r w:rsidRPr="008230C7">
        <w:rPr>
          <w:rFonts w:eastAsia="Calibri"/>
          <w:lang w:eastAsia="en-US"/>
        </w:rPr>
        <w:t>Сізде</w:t>
      </w:r>
      <w:proofErr w:type="spellEnd"/>
      <w:r w:rsidRPr="008230C7">
        <w:rPr>
          <w:rFonts w:eastAsia="Calibri"/>
          <w:lang w:eastAsia="en-US"/>
        </w:rPr>
        <w:t xml:space="preserve"> </w:t>
      </w:r>
      <w:proofErr w:type="spellStart"/>
      <w:r w:rsidRPr="008230C7">
        <w:rPr>
          <w:rFonts w:eastAsia="Calibri"/>
          <w:lang w:eastAsia="en-US"/>
        </w:rPr>
        <w:t>қандай</w:t>
      </w:r>
      <w:proofErr w:type="spellEnd"/>
      <w:r w:rsidRPr="008230C7">
        <w:rPr>
          <w:rFonts w:eastAsia="Calibri"/>
          <w:lang w:eastAsia="en-US"/>
        </w:rPr>
        <w:t xml:space="preserve"> да </w:t>
      </w:r>
      <w:proofErr w:type="spellStart"/>
      <w:r w:rsidRPr="008230C7">
        <w:rPr>
          <w:rFonts w:eastAsia="Calibri"/>
          <w:lang w:eastAsia="en-US"/>
        </w:rPr>
        <w:t>бір</w:t>
      </w:r>
      <w:proofErr w:type="spellEnd"/>
      <w:r w:rsidRPr="008230C7">
        <w:rPr>
          <w:rFonts w:eastAsia="Calibri"/>
          <w:lang w:eastAsia="en-US"/>
        </w:rPr>
        <w:t xml:space="preserve"> </w:t>
      </w:r>
      <w:proofErr w:type="spellStart"/>
      <w:r w:rsidRPr="008230C7">
        <w:rPr>
          <w:rFonts w:eastAsia="Calibri"/>
          <w:lang w:eastAsia="en-US"/>
        </w:rPr>
        <w:t>сұрақтар</w:t>
      </w:r>
      <w:proofErr w:type="spellEnd"/>
      <w:r w:rsidRPr="008230C7">
        <w:rPr>
          <w:rFonts w:eastAsia="Calibri"/>
          <w:lang w:eastAsia="en-US"/>
        </w:rPr>
        <w:t xml:space="preserve"> </w:t>
      </w:r>
      <w:proofErr w:type="spellStart"/>
      <w:r w:rsidRPr="008230C7">
        <w:rPr>
          <w:rFonts w:eastAsia="Calibri"/>
          <w:lang w:eastAsia="en-US"/>
        </w:rPr>
        <w:t>туындаса</w:t>
      </w:r>
      <w:proofErr w:type="spellEnd"/>
      <w:r w:rsidRPr="008230C7">
        <w:rPr>
          <w:rFonts w:eastAsia="Calibri"/>
          <w:lang w:eastAsia="en-US"/>
        </w:rPr>
        <w:t xml:space="preserve"> </w:t>
      </w:r>
      <w:proofErr w:type="spellStart"/>
      <w:r w:rsidRPr="008230C7">
        <w:rPr>
          <w:rFonts w:eastAsia="Calibri"/>
          <w:lang w:eastAsia="en-US"/>
        </w:rPr>
        <w:t>немесе</w:t>
      </w:r>
      <w:proofErr w:type="spellEnd"/>
      <w:r w:rsidRPr="008230C7">
        <w:rPr>
          <w:rFonts w:eastAsia="Calibri"/>
          <w:lang w:eastAsia="en-US"/>
        </w:rPr>
        <w:t xml:space="preserve"> қосымша </w:t>
      </w:r>
      <w:proofErr w:type="spellStart"/>
      <w:r w:rsidRPr="008230C7">
        <w:rPr>
          <w:rFonts w:eastAsia="Calibri"/>
          <w:lang w:eastAsia="en-US"/>
        </w:rPr>
        <w:t>ақпарат</w:t>
      </w:r>
      <w:proofErr w:type="spellEnd"/>
      <w:r w:rsidRPr="008230C7">
        <w:rPr>
          <w:rFonts w:eastAsia="Calibri"/>
          <w:lang w:eastAsia="en-US"/>
        </w:rPr>
        <w:t xml:space="preserve"> </w:t>
      </w:r>
      <w:proofErr w:type="spellStart"/>
      <w:r w:rsidRPr="008230C7">
        <w:rPr>
          <w:rFonts w:eastAsia="Calibri"/>
          <w:lang w:eastAsia="en-US"/>
        </w:rPr>
        <w:t>қажет</w:t>
      </w:r>
      <w:proofErr w:type="spellEnd"/>
      <w:r w:rsidRPr="008230C7">
        <w:rPr>
          <w:rFonts w:eastAsia="Calibri"/>
          <w:lang w:eastAsia="en-US"/>
        </w:rPr>
        <w:t xml:space="preserve"> </w:t>
      </w:r>
      <w:proofErr w:type="spellStart"/>
      <w:r w:rsidRPr="008230C7">
        <w:rPr>
          <w:rFonts w:eastAsia="Calibri"/>
          <w:lang w:eastAsia="en-US"/>
        </w:rPr>
        <w:t>болса</w:t>
      </w:r>
      <w:proofErr w:type="spellEnd"/>
      <w:r w:rsidRPr="008230C7">
        <w:rPr>
          <w:rFonts w:eastAsia="Calibri"/>
          <w:lang w:eastAsia="en-US"/>
        </w:rPr>
        <w:t xml:space="preserve">, </w:t>
      </w:r>
      <w:proofErr w:type="spellStart"/>
      <w:r w:rsidRPr="008230C7">
        <w:rPr>
          <w:rFonts w:eastAsia="Calibri"/>
          <w:lang w:eastAsia="en-US"/>
        </w:rPr>
        <w:t>фармакоқадағалау</w:t>
      </w:r>
      <w:proofErr w:type="spellEnd"/>
      <w:r w:rsidRPr="008230C7">
        <w:rPr>
          <w:rFonts w:eastAsia="Calibri"/>
          <w:lang w:eastAsia="en-US"/>
        </w:rPr>
        <w:t xml:space="preserve"> </w:t>
      </w:r>
      <w:proofErr w:type="spellStart"/>
      <w:r w:rsidRPr="008230C7">
        <w:rPr>
          <w:rFonts w:eastAsia="Calibri"/>
          <w:lang w:eastAsia="en-US"/>
        </w:rPr>
        <w:t>бөліміне</w:t>
      </w:r>
      <w:proofErr w:type="spellEnd"/>
      <w:r w:rsidRPr="008230C7">
        <w:rPr>
          <w:rFonts w:eastAsia="Calibri"/>
          <w:lang w:eastAsia="en-US"/>
        </w:rPr>
        <w:t xml:space="preserve"> </w:t>
      </w:r>
      <w:proofErr w:type="spellStart"/>
      <w:r w:rsidRPr="008230C7">
        <w:rPr>
          <w:rFonts w:eastAsia="Calibri"/>
          <w:lang w:eastAsia="en-US"/>
        </w:rPr>
        <w:t>мына</w:t>
      </w:r>
      <w:proofErr w:type="spellEnd"/>
      <w:r w:rsidRPr="008230C7">
        <w:rPr>
          <w:rFonts w:eastAsia="Calibri"/>
          <w:lang w:eastAsia="en-US"/>
        </w:rPr>
        <w:t xml:space="preserve"> </w:t>
      </w:r>
      <w:proofErr w:type="spellStart"/>
      <w:r w:rsidRPr="008230C7">
        <w:rPr>
          <w:rFonts w:eastAsia="Calibri"/>
          <w:lang w:eastAsia="en-US"/>
        </w:rPr>
        <w:t>мекенжай</w:t>
      </w:r>
      <w:proofErr w:type="spellEnd"/>
      <w:r w:rsidRPr="008230C7">
        <w:rPr>
          <w:rFonts w:eastAsia="Calibri"/>
          <w:lang w:eastAsia="en-US"/>
        </w:rPr>
        <w:t xml:space="preserve"> </w:t>
      </w:r>
      <w:proofErr w:type="spellStart"/>
      <w:r w:rsidRPr="008230C7">
        <w:rPr>
          <w:rFonts w:eastAsia="Calibri"/>
          <w:lang w:eastAsia="en-US"/>
        </w:rPr>
        <w:t>бойынша</w:t>
      </w:r>
      <w:proofErr w:type="spellEnd"/>
      <w:r w:rsidRPr="008230C7">
        <w:rPr>
          <w:rFonts w:eastAsia="Calibri"/>
          <w:lang w:eastAsia="en-US"/>
        </w:rPr>
        <w:t xml:space="preserve"> </w:t>
      </w:r>
      <w:proofErr w:type="spellStart"/>
      <w:r w:rsidRPr="008230C7">
        <w:rPr>
          <w:rFonts w:eastAsia="Calibri"/>
          <w:lang w:eastAsia="en-US"/>
        </w:rPr>
        <w:t>хабарласуыңызға</w:t>
      </w:r>
      <w:proofErr w:type="spellEnd"/>
      <w:r w:rsidRPr="008230C7">
        <w:rPr>
          <w:rFonts w:eastAsia="Calibri"/>
          <w:lang w:eastAsia="en-US"/>
        </w:rPr>
        <w:t xml:space="preserve"> </w:t>
      </w:r>
      <w:proofErr w:type="spellStart"/>
      <w:r w:rsidRPr="008230C7">
        <w:rPr>
          <w:rFonts w:eastAsia="Calibri"/>
          <w:lang w:eastAsia="en-US"/>
        </w:rPr>
        <w:t>болады</w:t>
      </w:r>
      <w:proofErr w:type="spellEnd"/>
      <w:r w:rsidRPr="008230C7">
        <w:rPr>
          <w:rFonts w:eastAsia="Calibri"/>
          <w:lang w:eastAsia="en-US"/>
        </w:rPr>
        <w:t xml:space="preserve">: «Қарағанды фармацевтикалық кешені» ЖШС Қазақстан </w:t>
      </w:r>
      <w:proofErr w:type="spellStart"/>
      <w:r w:rsidRPr="008230C7">
        <w:rPr>
          <w:rFonts w:eastAsia="Calibri"/>
          <w:lang w:eastAsia="en-US"/>
        </w:rPr>
        <w:t>Республикаcы</w:t>
      </w:r>
      <w:proofErr w:type="spellEnd"/>
    </w:p>
    <w:p w14:paraId="25ECAC2C" w14:textId="77777777" w:rsidR="00585044" w:rsidRPr="008230C7" w:rsidRDefault="00585044" w:rsidP="00585044">
      <w:pPr>
        <w:spacing w:line="259" w:lineRule="auto"/>
        <w:jc w:val="both"/>
        <w:rPr>
          <w:rFonts w:eastAsia="Calibri"/>
          <w:lang w:eastAsia="en-US"/>
        </w:rPr>
      </w:pPr>
      <w:r w:rsidRPr="008230C7">
        <w:rPr>
          <w:rFonts w:eastAsia="Calibri"/>
          <w:lang w:eastAsia="en-US"/>
        </w:rPr>
        <w:t>100009, Қарағанды қ., Ғазалиев к-</w:t>
      </w:r>
      <w:proofErr w:type="spellStart"/>
      <w:r w:rsidRPr="008230C7">
        <w:rPr>
          <w:rFonts w:eastAsia="Calibri"/>
          <w:lang w:eastAsia="en-US"/>
        </w:rPr>
        <w:t>сі</w:t>
      </w:r>
      <w:proofErr w:type="spellEnd"/>
      <w:r w:rsidRPr="008230C7">
        <w:rPr>
          <w:rFonts w:eastAsia="Calibri"/>
          <w:lang w:eastAsia="en-US"/>
        </w:rPr>
        <w:t xml:space="preserve">, 16 </w:t>
      </w:r>
      <w:proofErr w:type="spellStart"/>
      <w:r w:rsidRPr="008230C7">
        <w:rPr>
          <w:rFonts w:eastAsia="Calibri"/>
          <w:lang w:eastAsia="en-US"/>
        </w:rPr>
        <w:t>құр</w:t>
      </w:r>
      <w:proofErr w:type="spellEnd"/>
      <w:r w:rsidRPr="008230C7">
        <w:rPr>
          <w:rFonts w:eastAsia="Calibri"/>
          <w:lang w:eastAsia="en-US"/>
        </w:rPr>
        <w:t>.</w:t>
      </w:r>
    </w:p>
    <w:p w14:paraId="0395CE5C" w14:textId="77777777" w:rsidR="00585044" w:rsidRPr="008230C7" w:rsidRDefault="00585044" w:rsidP="00585044">
      <w:pPr>
        <w:spacing w:line="259" w:lineRule="auto"/>
        <w:jc w:val="both"/>
        <w:rPr>
          <w:rFonts w:eastAsia="Calibri"/>
          <w:lang w:eastAsia="en-US"/>
        </w:rPr>
      </w:pPr>
      <w:r w:rsidRPr="008230C7">
        <w:rPr>
          <w:rFonts w:eastAsia="Calibri"/>
          <w:lang w:eastAsia="en-US"/>
        </w:rPr>
        <w:t xml:space="preserve">Телефон </w:t>
      </w:r>
      <w:proofErr w:type="spellStart"/>
      <w:r w:rsidRPr="008230C7">
        <w:rPr>
          <w:rFonts w:eastAsia="Calibri"/>
          <w:lang w:eastAsia="en-US"/>
        </w:rPr>
        <w:t>нөмірі</w:t>
      </w:r>
      <w:proofErr w:type="spellEnd"/>
      <w:r w:rsidRPr="008230C7">
        <w:rPr>
          <w:rFonts w:eastAsia="Calibri"/>
          <w:lang w:eastAsia="en-US"/>
        </w:rPr>
        <w:t xml:space="preserve"> (7212) 90-80-43 факс (7212) 90-65-49</w:t>
      </w:r>
    </w:p>
    <w:p w14:paraId="251A3FA5" w14:textId="77777777" w:rsidR="00585044" w:rsidRPr="008230C7" w:rsidRDefault="00585044" w:rsidP="00585044">
      <w:pPr>
        <w:spacing w:line="259" w:lineRule="auto"/>
        <w:jc w:val="both"/>
        <w:rPr>
          <w:rFonts w:eastAsia="Calibri"/>
          <w:lang w:eastAsia="en-US"/>
        </w:rPr>
      </w:pPr>
      <w:proofErr w:type="spellStart"/>
      <w:r w:rsidRPr="008230C7">
        <w:rPr>
          <w:rFonts w:eastAsia="Calibri"/>
          <w:lang w:eastAsia="en-US"/>
        </w:rPr>
        <w:t>Электрондық</w:t>
      </w:r>
      <w:proofErr w:type="spellEnd"/>
      <w:r w:rsidRPr="008230C7">
        <w:rPr>
          <w:rFonts w:eastAsia="Calibri"/>
          <w:lang w:eastAsia="en-US"/>
        </w:rPr>
        <w:t xml:space="preserve"> </w:t>
      </w:r>
      <w:proofErr w:type="spellStart"/>
      <w:r w:rsidRPr="008230C7">
        <w:rPr>
          <w:rFonts w:eastAsia="Calibri"/>
          <w:lang w:eastAsia="en-US"/>
        </w:rPr>
        <w:t>пошта</w:t>
      </w:r>
      <w:proofErr w:type="spellEnd"/>
      <w:r w:rsidRPr="008230C7">
        <w:rPr>
          <w:rFonts w:eastAsia="Calibri"/>
          <w:lang w:eastAsia="en-US"/>
        </w:rPr>
        <w:t xml:space="preserve"> </w:t>
      </w:r>
      <w:proofErr w:type="spellStart"/>
      <w:r w:rsidRPr="008230C7">
        <w:rPr>
          <w:rFonts w:eastAsia="Calibri"/>
          <w:lang w:eastAsia="en-US"/>
        </w:rPr>
        <w:t>мекенжайы</w:t>
      </w:r>
      <w:proofErr w:type="spellEnd"/>
      <w:r w:rsidRPr="008230C7">
        <w:rPr>
          <w:rFonts w:eastAsia="Calibri"/>
          <w:lang w:eastAsia="en-US"/>
        </w:rPr>
        <w:t xml:space="preserve"> medinfo@kphk.kz.</w:t>
      </w:r>
    </w:p>
    <w:p w14:paraId="7B085476" w14:textId="77777777" w:rsidR="00585044" w:rsidRDefault="00585044" w:rsidP="00585044">
      <w:pPr>
        <w:spacing w:line="259" w:lineRule="auto"/>
        <w:jc w:val="both"/>
        <w:rPr>
          <w:rFonts w:eastAsia="Calibri"/>
          <w:lang w:eastAsia="en-US"/>
        </w:rPr>
      </w:pPr>
    </w:p>
    <w:p w14:paraId="5EC87384" w14:textId="4B0485F0" w:rsidR="00585044" w:rsidRPr="008230C7" w:rsidRDefault="00585044" w:rsidP="00585044">
      <w:pPr>
        <w:spacing w:after="160" w:line="259" w:lineRule="auto"/>
        <w:rPr>
          <w:rFonts w:eastAsia="Calibri"/>
          <w:lang w:eastAsia="en-US"/>
        </w:rPr>
      </w:pPr>
      <w:r>
        <w:rPr>
          <w:rFonts w:eastAsia="Calibri"/>
          <w:lang w:eastAsia="en-US"/>
        </w:rPr>
        <w:br w:type="page"/>
      </w:r>
    </w:p>
    <w:p w14:paraId="099D2390" w14:textId="77777777" w:rsidR="00585044" w:rsidRPr="008230C7" w:rsidRDefault="00585044" w:rsidP="00585044">
      <w:pPr>
        <w:spacing w:line="259" w:lineRule="auto"/>
        <w:jc w:val="both"/>
        <w:rPr>
          <w:rFonts w:eastAsia="Calibri"/>
          <w:b/>
          <w:lang w:eastAsia="en-US"/>
        </w:rPr>
      </w:pPr>
      <w:r w:rsidRPr="008230C7">
        <w:rPr>
          <w:rFonts w:eastAsia="Calibri"/>
          <w:b/>
          <w:lang w:eastAsia="en-US"/>
        </w:rPr>
        <w:lastRenderedPageBreak/>
        <w:t>Прямое обращение к специалистам здравоохранения по препарату Интербетин (интерферон бета-1b), лиофилизат для приготовления раствора для подкожного введения 0.3 мг (9.6 млн. МЕ) в комплекте с растворителем: Рекомендации по дозированию препарата.</w:t>
      </w:r>
      <w:r>
        <w:rPr>
          <w:rFonts w:eastAsia="Calibri"/>
          <w:b/>
          <w:lang w:eastAsia="en-US"/>
        </w:rPr>
        <w:t xml:space="preserve"> </w:t>
      </w:r>
      <w:r w:rsidRPr="004E7183">
        <w:rPr>
          <w:rFonts w:eastAsia="Calibri"/>
          <w:b/>
          <w:bCs/>
          <w:lang w:eastAsia="en-US"/>
        </w:rPr>
        <w:t xml:space="preserve">(версия </w:t>
      </w:r>
      <w:r>
        <w:rPr>
          <w:rFonts w:eastAsia="Calibri"/>
          <w:b/>
          <w:bCs/>
          <w:lang w:eastAsia="en-US"/>
        </w:rPr>
        <w:t>2</w:t>
      </w:r>
      <w:r w:rsidRPr="004E7183">
        <w:rPr>
          <w:rFonts w:eastAsia="Calibri"/>
          <w:b/>
          <w:bCs/>
          <w:lang w:eastAsia="en-US"/>
        </w:rPr>
        <w:t xml:space="preserve"> от </w:t>
      </w:r>
      <w:r>
        <w:rPr>
          <w:rFonts w:eastAsia="Calibri"/>
          <w:b/>
          <w:bCs/>
          <w:lang w:eastAsia="en-US"/>
        </w:rPr>
        <w:t>14.03.2025</w:t>
      </w:r>
      <w:r w:rsidRPr="004E7183">
        <w:rPr>
          <w:rFonts w:eastAsia="Calibri"/>
          <w:b/>
          <w:bCs/>
          <w:lang w:eastAsia="en-US"/>
        </w:rPr>
        <w:t xml:space="preserve"> г.)</w:t>
      </w:r>
    </w:p>
    <w:p w14:paraId="6C6A05FB" w14:textId="77777777" w:rsidR="00585044" w:rsidRPr="008230C7" w:rsidRDefault="00585044" w:rsidP="00585044">
      <w:pPr>
        <w:spacing w:line="259" w:lineRule="auto"/>
        <w:jc w:val="both"/>
        <w:rPr>
          <w:rFonts w:eastAsia="Calibri"/>
          <w:b/>
          <w:lang w:eastAsia="en-US"/>
        </w:rPr>
      </w:pPr>
    </w:p>
    <w:p w14:paraId="3A7450A4" w14:textId="77777777" w:rsidR="00585044" w:rsidRPr="008230C7" w:rsidRDefault="00585044" w:rsidP="00585044">
      <w:pPr>
        <w:spacing w:line="259" w:lineRule="auto"/>
        <w:jc w:val="center"/>
        <w:rPr>
          <w:rFonts w:eastAsia="Calibri"/>
          <w:b/>
          <w:lang w:eastAsia="en-US"/>
        </w:rPr>
      </w:pPr>
      <w:r w:rsidRPr="008230C7">
        <w:rPr>
          <w:rFonts w:eastAsia="Calibri"/>
          <w:b/>
          <w:lang w:eastAsia="en-US"/>
        </w:rPr>
        <w:t>Уважаемые специалисты здравоохранения!</w:t>
      </w:r>
    </w:p>
    <w:p w14:paraId="1B467122" w14:textId="77777777" w:rsidR="00585044" w:rsidRPr="008230C7" w:rsidRDefault="00585044" w:rsidP="00585044">
      <w:pPr>
        <w:spacing w:line="259" w:lineRule="auto"/>
        <w:jc w:val="center"/>
        <w:rPr>
          <w:rFonts w:eastAsia="Calibri"/>
          <w:b/>
          <w:lang w:eastAsia="en-US"/>
        </w:rPr>
      </w:pPr>
    </w:p>
    <w:p w14:paraId="786ED8C0" w14:textId="77777777" w:rsidR="00585044" w:rsidRPr="008230C7" w:rsidRDefault="00585044" w:rsidP="00585044">
      <w:pPr>
        <w:spacing w:line="259" w:lineRule="auto"/>
        <w:jc w:val="both"/>
        <w:rPr>
          <w:rFonts w:eastAsia="Calibri"/>
          <w:bCs/>
          <w:lang w:eastAsia="en-US"/>
        </w:rPr>
      </w:pPr>
      <w:r w:rsidRPr="008230C7">
        <w:rPr>
          <w:rFonts w:eastAsia="Calibri"/>
          <w:lang w:eastAsia="en-US"/>
        </w:rPr>
        <w:t>Согласно общей характеристике лекарственного препарата (ОХЛП) Интербетин, подготовлено Прямое обращение к специалистам здравоохранения</w:t>
      </w:r>
      <w:r w:rsidRPr="008230C7">
        <w:rPr>
          <w:rFonts w:eastAsia="Calibri"/>
          <w:lang w:val="kk-KZ" w:eastAsia="en-US"/>
        </w:rPr>
        <w:t xml:space="preserve"> </w:t>
      </w:r>
      <w:r w:rsidRPr="008230C7">
        <w:rPr>
          <w:rFonts w:eastAsia="Calibri"/>
          <w:lang w:eastAsia="en-US"/>
        </w:rPr>
        <w:t>(ПОСЗ). Работникам системы здравоохранения рекомендуется внимательно ознакомиться с данными П</w:t>
      </w:r>
      <w:r w:rsidRPr="008230C7">
        <w:rPr>
          <w:rFonts w:eastAsia="Calibri"/>
          <w:lang w:val="kk-KZ" w:eastAsia="en-US"/>
        </w:rPr>
        <w:t>ОСЗ</w:t>
      </w:r>
      <w:r w:rsidRPr="008230C7">
        <w:rPr>
          <w:rFonts w:eastAsia="Calibri"/>
          <w:lang w:eastAsia="en-US"/>
        </w:rPr>
        <w:t xml:space="preserve"> и ОХЛП, обратив особое внимание на рекомендации по дозировке, и титрованию доз. </w:t>
      </w:r>
      <w:r w:rsidRPr="008230C7">
        <w:rPr>
          <w:rFonts w:eastAsia="Calibri"/>
          <w:bCs/>
          <w:lang w:eastAsia="en-US"/>
        </w:rPr>
        <w:t>Лечение препаратом Интербетин следует начинать под наблюдением врача, имеющего опыт лечения рассеянного склероза.</w:t>
      </w:r>
    </w:p>
    <w:p w14:paraId="4F7E2ED1" w14:textId="77777777" w:rsidR="00585044" w:rsidRPr="008230C7" w:rsidRDefault="00585044" w:rsidP="00585044">
      <w:pPr>
        <w:spacing w:line="259" w:lineRule="auto"/>
        <w:jc w:val="both"/>
        <w:rPr>
          <w:rFonts w:eastAsia="Calibri"/>
          <w:lang w:eastAsia="en-US"/>
        </w:rPr>
      </w:pPr>
      <w:r w:rsidRPr="008230C7">
        <w:rPr>
          <w:rFonts w:eastAsia="Calibri"/>
          <w:lang w:eastAsia="en-US"/>
        </w:rPr>
        <w:t>Ниже приводится краткое изложение наиболее важной информации.</w:t>
      </w:r>
    </w:p>
    <w:p w14:paraId="36D6E583" w14:textId="77777777" w:rsidR="00585044" w:rsidRPr="008230C7" w:rsidRDefault="00585044" w:rsidP="00585044">
      <w:pPr>
        <w:spacing w:line="259" w:lineRule="auto"/>
        <w:jc w:val="both"/>
        <w:rPr>
          <w:rFonts w:eastAsia="Calibri"/>
          <w:lang w:eastAsia="en-US"/>
        </w:rPr>
      </w:pPr>
    </w:p>
    <w:p w14:paraId="6D2FA768" w14:textId="77777777" w:rsidR="00585044" w:rsidRPr="008230C7" w:rsidRDefault="00585044" w:rsidP="00585044">
      <w:pPr>
        <w:spacing w:line="259" w:lineRule="auto"/>
        <w:jc w:val="both"/>
        <w:rPr>
          <w:rFonts w:eastAsia="Calibri"/>
          <w:b/>
          <w:lang w:eastAsia="en-US"/>
        </w:rPr>
      </w:pPr>
      <w:r w:rsidRPr="008230C7">
        <w:rPr>
          <w:rFonts w:eastAsia="Calibri"/>
          <w:b/>
          <w:lang w:eastAsia="en-US"/>
        </w:rPr>
        <w:t xml:space="preserve">Дозирование </w:t>
      </w:r>
    </w:p>
    <w:p w14:paraId="5836324C"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 xml:space="preserve">Рекомендуемую дозу препарата Интербетин 0,25 мг (8 млн. МЕ), которая содержится в 1 мл приготовленного раствора, вводят подкожно через день. </w:t>
      </w:r>
    </w:p>
    <w:p w14:paraId="32346EA5"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В начале лечения рекомендуется провести титрование дозы. Пациентам необходимо начинать со стартовой дозы 62,5 мкг (0,25 мл) подкожно через день, постепенно увеличивая дозу до 250 мкг (1,0 мл), вводимую также через день. Период титрования дозы может варьировать в зависимости от индивидуальной переносимости препарата.</w:t>
      </w:r>
    </w:p>
    <w:p w14:paraId="20856C09"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Схема титрования дозы*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07"/>
        <w:gridCol w:w="3122"/>
      </w:tblGrid>
      <w:tr w:rsidR="00585044" w:rsidRPr="008230C7" w14:paraId="7D5B457C" w14:textId="77777777" w:rsidTr="00453F28">
        <w:tc>
          <w:tcPr>
            <w:tcW w:w="3190" w:type="dxa"/>
            <w:vAlign w:val="center"/>
          </w:tcPr>
          <w:p w14:paraId="398E62AC"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 xml:space="preserve">День </w:t>
            </w:r>
            <w:proofErr w:type="spellStart"/>
            <w:r w:rsidRPr="008230C7">
              <w:rPr>
                <w:rFonts w:eastAsia="Calibri"/>
                <w:lang w:val="en-US" w:eastAsia="en-US"/>
              </w:rPr>
              <w:t>лечения</w:t>
            </w:r>
            <w:proofErr w:type="spellEnd"/>
          </w:p>
        </w:tc>
        <w:tc>
          <w:tcPr>
            <w:tcW w:w="3190" w:type="dxa"/>
            <w:vAlign w:val="center"/>
          </w:tcPr>
          <w:p w14:paraId="266C2C50" w14:textId="77777777" w:rsidR="00585044" w:rsidRPr="008230C7" w:rsidRDefault="00585044" w:rsidP="00453F28">
            <w:pPr>
              <w:spacing w:line="259" w:lineRule="auto"/>
              <w:jc w:val="center"/>
              <w:rPr>
                <w:rFonts w:eastAsia="Calibri"/>
                <w:lang w:val="en-US" w:eastAsia="en-US"/>
              </w:rPr>
            </w:pPr>
            <w:proofErr w:type="spellStart"/>
            <w:r w:rsidRPr="008230C7">
              <w:rPr>
                <w:rFonts w:eastAsia="Calibri"/>
                <w:lang w:val="en-US" w:eastAsia="en-US"/>
              </w:rPr>
              <w:t>Доза</w:t>
            </w:r>
            <w:proofErr w:type="spellEnd"/>
            <w:r w:rsidRPr="008230C7">
              <w:rPr>
                <w:rFonts w:eastAsia="Calibri"/>
                <w:lang w:val="en-US" w:eastAsia="en-US"/>
              </w:rPr>
              <w:t xml:space="preserve">, </w:t>
            </w:r>
            <w:proofErr w:type="spellStart"/>
            <w:r w:rsidRPr="008230C7">
              <w:rPr>
                <w:rFonts w:eastAsia="Calibri"/>
                <w:lang w:val="en-US" w:eastAsia="en-US"/>
              </w:rPr>
              <w:t>мкг</w:t>
            </w:r>
            <w:proofErr w:type="spellEnd"/>
          </w:p>
        </w:tc>
        <w:tc>
          <w:tcPr>
            <w:tcW w:w="3191" w:type="dxa"/>
            <w:vAlign w:val="center"/>
          </w:tcPr>
          <w:p w14:paraId="1EECCC03" w14:textId="77777777" w:rsidR="00585044" w:rsidRPr="008230C7" w:rsidRDefault="00585044" w:rsidP="00453F28">
            <w:pPr>
              <w:spacing w:line="259" w:lineRule="auto"/>
              <w:jc w:val="center"/>
              <w:rPr>
                <w:rFonts w:eastAsia="Calibri"/>
                <w:lang w:val="en-US" w:eastAsia="en-US"/>
              </w:rPr>
            </w:pPr>
            <w:proofErr w:type="spellStart"/>
            <w:r w:rsidRPr="008230C7">
              <w:rPr>
                <w:rFonts w:eastAsia="Calibri"/>
                <w:lang w:val="en-US" w:eastAsia="en-US"/>
              </w:rPr>
              <w:t>Объем</w:t>
            </w:r>
            <w:proofErr w:type="spellEnd"/>
            <w:r w:rsidRPr="008230C7">
              <w:rPr>
                <w:rFonts w:eastAsia="Calibri"/>
                <w:lang w:val="en-US" w:eastAsia="en-US"/>
              </w:rPr>
              <w:t xml:space="preserve"> </w:t>
            </w:r>
            <w:proofErr w:type="spellStart"/>
            <w:r w:rsidRPr="008230C7">
              <w:rPr>
                <w:rFonts w:eastAsia="Calibri"/>
                <w:lang w:val="en-US" w:eastAsia="en-US"/>
              </w:rPr>
              <w:t>препарат</w:t>
            </w:r>
            <w:proofErr w:type="spellEnd"/>
            <w:r w:rsidRPr="008230C7">
              <w:rPr>
                <w:rFonts w:eastAsia="Calibri"/>
                <w:lang w:val="en-US" w:eastAsia="en-US"/>
              </w:rPr>
              <w:t xml:space="preserve">, </w:t>
            </w:r>
            <w:proofErr w:type="spellStart"/>
            <w:r w:rsidRPr="008230C7">
              <w:rPr>
                <w:rFonts w:eastAsia="Calibri"/>
                <w:lang w:val="en-US" w:eastAsia="en-US"/>
              </w:rPr>
              <w:t>мл</w:t>
            </w:r>
            <w:proofErr w:type="spellEnd"/>
          </w:p>
        </w:tc>
      </w:tr>
      <w:tr w:rsidR="00585044" w:rsidRPr="008230C7" w14:paraId="5305375B" w14:textId="77777777" w:rsidTr="00453F28">
        <w:tc>
          <w:tcPr>
            <w:tcW w:w="3190" w:type="dxa"/>
            <w:vAlign w:val="center"/>
          </w:tcPr>
          <w:p w14:paraId="3185A14E"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1, 3, 5</w:t>
            </w:r>
          </w:p>
        </w:tc>
        <w:tc>
          <w:tcPr>
            <w:tcW w:w="3190" w:type="dxa"/>
            <w:vAlign w:val="center"/>
          </w:tcPr>
          <w:p w14:paraId="6E89FF88"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62,5</w:t>
            </w:r>
          </w:p>
        </w:tc>
        <w:tc>
          <w:tcPr>
            <w:tcW w:w="3191" w:type="dxa"/>
            <w:vAlign w:val="center"/>
          </w:tcPr>
          <w:p w14:paraId="3F1CE836"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0,25</w:t>
            </w:r>
          </w:p>
        </w:tc>
      </w:tr>
      <w:tr w:rsidR="00585044" w:rsidRPr="008230C7" w14:paraId="293EBBE3" w14:textId="77777777" w:rsidTr="00453F28">
        <w:tc>
          <w:tcPr>
            <w:tcW w:w="3190" w:type="dxa"/>
            <w:vAlign w:val="center"/>
          </w:tcPr>
          <w:p w14:paraId="0A2992CD"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7, 9, 11</w:t>
            </w:r>
          </w:p>
        </w:tc>
        <w:tc>
          <w:tcPr>
            <w:tcW w:w="3190" w:type="dxa"/>
            <w:vAlign w:val="center"/>
          </w:tcPr>
          <w:p w14:paraId="77F175CC"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125</w:t>
            </w:r>
          </w:p>
        </w:tc>
        <w:tc>
          <w:tcPr>
            <w:tcW w:w="3191" w:type="dxa"/>
            <w:vAlign w:val="center"/>
          </w:tcPr>
          <w:p w14:paraId="0540FD36"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0,5</w:t>
            </w:r>
          </w:p>
        </w:tc>
      </w:tr>
      <w:tr w:rsidR="00585044" w:rsidRPr="008230C7" w14:paraId="07527CAC" w14:textId="77777777" w:rsidTr="00453F28">
        <w:tc>
          <w:tcPr>
            <w:tcW w:w="3190" w:type="dxa"/>
            <w:vAlign w:val="center"/>
          </w:tcPr>
          <w:p w14:paraId="66BAC0F0"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13, 15, 17</w:t>
            </w:r>
          </w:p>
        </w:tc>
        <w:tc>
          <w:tcPr>
            <w:tcW w:w="3190" w:type="dxa"/>
            <w:vAlign w:val="center"/>
          </w:tcPr>
          <w:p w14:paraId="2588B059"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187,5</w:t>
            </w:r>
          </w:p>
        </w:tc>
        <w:tc>
          <w:tcPr>
            <w:tcW w:w="3191" w:type="dxa"/>
            <w:vAlign w:val="center"/>
          </w:tcPr>
          <w:p w14:paraId="07E21529"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0,75</w:t>
            </w:r>
          </w:p>
        </w:tc>
      </w:tr>
      <w:tr w:rsidR="00585044" w:rsidRPr="008230C7" w14:paraId="3083B97F" w14:textId="77777777" w:rsidTr="00453F28">
        <w:tc>
          <w:tcPr>
            <w:tcW w:w="3190" w:type="dxa"/>
            <w:vAlign w:val="center"/>
          </w:tcPr>
          <w:p w14:paraId="02857D7F"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 xml:space="preserve">19, 21, 23 и </w:t>
            </w:r>
            <w:proofErr w:type="spellStart"/>
            <w:r w:rsidRPr="008230C7">
              <w:rPr>
                <w:rFonts w:eastAsia="Calibri"/>
                <w:lang w:val="en-US" w:eastAsia="en-US"/>
              </w:rPr>
              <w:t>т.д</w:t>
            </w:r>
            <w:proofErr w:type="spellEnd"/>
            <w:r w:rsidRPr="008230C7">
              <w:rPr>
                <w:rFonts w:eastAsia="Calibri"/>
                <w:lang w:val="en-US" w:eastAsia="en-US"/>
              </w:rPr>
              <w:t>.</w:t>
            </w:r>
          </w:p>
        </w:tc>
        <w:tc>
          <w:tcPr>
            <w:tcW w:w="3190" w:type="dxa"/>
            <w:vAlign w:val="center"/>
          </w:tcPr>
          <w:p w14:paraId="562C2EA7"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250</w:t>
            </w:r>
          </w:p>
        </w:tc>
        <w:tc>
          <w:tcPr>
            <w:tcW w:w="3191" w:type="dxa"/>
            <w:vAlign w:val="center"/>
          </w:tcPr>
          <w:p w14:paraId="78069B60" w14:textId="77777777" w:rsidR="00585044" w:rsidRPr="008230C7" w:rsidRDefault="00585044" w:rsidP="00453F28">
            <w:pPr>
              <w:spacing w:line="259" w:lineRule="auto"/>
              <w:jc w:val="center"/>
              <w:rPr>
                <w:rFonts w:eastAsia="Calibri"/>
                <w:lang w:val="en-US" w:eastAsia="en-US"/>
              </w:rPr>
            </w:pPr>
            <w:r w:rsidRPr="008230C7">
              <w:rPr>
                <w:rFonts w:eastAsia="Calibri"/>
                <w:lang w:val="en-US" w:eastAsia="en-US"/>
              </w:rPr>
              <w:t>1</w:t>
            </w:r>
          </w:p>
        </w:tc>
      </w:tr>
    </w:tbl>
    <w:p w14:paraId="48700E49"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*схему титрования можно корректировать при появлении значительных побочных реакций.</w:t>
      </w:r>
    </w:p>
    <w:p w14:paraId="0DE0D57F"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Оптимальная доза препарата не определена полностью.</w:t>
      </w:r>
    </w:p>
    <w:p w14:paraId="056B2DDA"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В случае пропуска инъекции препарата, допускается продолжить инъекции в прежнем режиме (через день), как только представится возможным. Не вводите двойную дозу, чтобы компенсировать пропущенную.</w:t>
      </w:r>
    </w:p>
    <w:p w14:paraId="7BCAA6F5"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 xml:space="preserve">В настоящее время остается нерешенным вопрос о продолжительности терапии препаратом Интербетин. </w:t>
      </w:r>
    </w:p>
    <w:p w14:paraId="28740FFF"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 xml:space="preserve">По имеющимся данным у пациентов с </w:t>
      </w:r>
      <w:proofErr w:type="spellStart"/>
      <w:r w:rsidRPr="008230C7">
        <w:rPr>
          <w:rFonts w:eastAsia="Calibri"/>
          <w:bCs/>
          <w:lang w:eastAsia="en-US"/>
        </w:rPr>
        <w:t>рецидивирующе-ремиттирующим</w:t>
      </w:r>
      <w:proofErr w:type="spellEnd"/>
      <w:r w:rsidRPr="008230C7">
        <w:rPr>
          <w:rFonts w:eastAsia="Calibri"/>
          <w:bCs/>
          <w:lang w:eastAsia="en-US"/>
        </w:rPr>
        <w:t xml:space="preserve"> рассеянным склерозом курс лечения интерфероном бета-1</w:t>
      </w:r>
      <w:r w:rsidRPr="008230C7">
        <w:rPr>
          <w:rFonts w:eastAsia="Calibri"/>
          <w:bCs/>
          <w:lang w:val="en-US" w:eastAsia="en-US"/>
        </w:rPr>
        <w:t>b</w:t>
      </w:r>
      <w:r w:rsidRPr="008230C7">
        <w:rPr>
          <w:rFonts w:eastAsia="Calibri"/>
          <w:bCs/>
          <w:lang w:eastAsia="en-US"/>
        </w:rPr>
        <w:t xml:space="preserve"> составил до 5 лет, а у больных с вторично-прогрессирующим рассеянным склерозом курс составил до 3 лет. </w:t>
      </w:r>
    </w:p>
    <w:p w14:paraId="07968162"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 xml:space="preserve">У пациентов с </w:t>
      </w:r>
      <w:proofErr w:type="spellStart"/>
      <w:r w:rsidRPr="008230C7">
        <w:rPr>
          <w:rFonts w:eastAsia="Calibri"/>
          <w:bCs/>
          <w:lang w:eastAsia="en-US"/>
        </w:rPr>
        <w:t>рецидивирующе-ремиттирующим</w:t>
      </w:r>
      <w:proofErr w:type="spellEnd"/>
      <w:r w:rsidRPr="008230C7">
        <w:rPr>
          <w:rFonts w:eastAsia="Calibri"/>
          <w:bCs/>
          <w:lang w:eastAsia="en-US"/>
        </w:rPr>
        <w:t xml:space="preserve"> рассеянным склерозом показана эффективность </w:t>
      </w:r>
      <w:proofErr w:type="spellStart"/>
      <w:r w:rsidRPr="008230C7">
        <w:rPr>
          <w:rFonts w:eastAsia="Calibri"/>
          <w:bCs/>
          <w:lang w:eastAsia="en-US"/>
        </w:rPr>
        <w:t>Интербетина</w:t>
      </w:r>
      <w:proofErr w:type="spellEnd"/>
      <w:r w:rsidRPr="008230C7">
        <w:rPr>
          <w:rFonts w:eastAsia="Calibri"/>
          <w:bCs/>
          <w:lang w:eastAsia="en-US"/>
        </w:rPr>
        <w:t xml:space="preserve"> на протяжении первых 2 лет лечения препаратом. Доступные данные о последующих 3 годах лечения соответствуют данным об эффективности лечения интерфероном бета-1</w:t>
      </w:r>
      <w:r w:rsidRPr="008230C7">
        <w:rPr>
          <w:rFonts w:eastAsia="Calibri"/>
          <w:bCs/>
          <w:lang w:val="en-US" w:eastAsia="en-US"/>
        </w:rPr>
        <w:t>b</w:t>
      </w:r>
      <w:r w:rsidRPr="008230C7">
        <w:rPr>
          <w:rFonts w:eastAsia="Calibri"/>
          <w:bCs/>
          <w:lang w:eastAsia="en-US"/>
        </w:rPr>
        <w:t xml:space="preserve"> за весь период продолжительного лечения. </w:t>
      </w:r>
    </w:p>
    <w:p w14:paraId="33EE349D"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У пациентов с первыми клиническими проявлениями при подозрении на рассеянный склероз значительно замедлялось развитие достоверного рассеянного склероза на протяжении 5 лет лечения интерфероном бета-1</w:t>
      </w:r>
      <w:r w:rsidRPr="008230C7">
        <w:rPr>
          <w:rFonts w:eastAsia="Calibri"/>
          <w:bCs/>
          <w:lang w:val="en-US" w:eastAsia="en-US"/>
        </w:rPr>
        <w:t>b</w:t>
      </w:r>
      <w:r w:rsidRPr="008230C7">
        <w:rPr>
          <w:rFonts w:eastAsia="Calibri"/>
          <w:bCs/>
          <w:lang w:eastAsia="en-US"/>
        </w:rPr>
        <w:t xml:space="preserve">. </w:t>
      </w:r>
    </w:p>
    <w:p w14:paraId="546544B9" w14:textId="77777777" w:rsidR="00585044" w:rsidRPr="008230C7" w:rsidRDefault="00585044" w:rsidP="00585044">
      <w:pPr>
        <w:spacing w:line="259" w:lineRule="auto"/>
        <w:jc w:val="both"/>
        <w:rPr>
          <w:rFonts w:eastAsia="Calibri"/>
          <w:bCs/>
          <w:lang w:eastAsia="en-US"/>
        </w:rPr>
      </w:pPr>
      <w:r w:rsidRPr="008230C7">
        <w:rPr>
          <w:rFonts w:eastAsia="Calibri"/>
          <w:bCs/>
          <w:lang w:eastAsia="en-US"/>
        </w:rPr>
        <w:t xml:space="preserve">Не рекомендуется лечение </w:t>
      </w:r>
      <w:proofErr w:type="spellStart"/>
      <w:r w:rsidRPr="008230C7">
        <w:rPr>
          <w:rFonts w:eastAsia="Calibri"/>
          <w:bCs/>
          <w:lang w:eastAsia="en-US"/>
        </w:rPr>
        <w:t>Интербетином</w:t>
      </w:r>
      <w:proofErr w:type="spellEnd"/>
      <w:r w:rsidRPr="008230C7">
        <w:rPr>
          <w:rFonts w:eastAsia="Calibri"/>
          <w:bCs/>
          <w:lang w:eastAsia="en-US"/>
        </w:rPr>
        <w:t xml:space="preserve"> у пациентов с </w:t>
      </w:r>
      <w:proofErr w:type="spellStart"/>
      <w:r w:rsidRPr="008230C7">
        <w:rPr>
          <w:rFonts w:eastAsia="Calibri"/>
          <w:bCs/>
          <w:lang w:eastAsia="en-US"/>
        </w:rPr>
        <w:t>рецидивирующе-ремиттирующим</w:t>
      </w:r>
      <w:proofErr w:type="spellEnd"/>
      <w:r w:rsidRPr="008230C7">
        <w:rPr>
          <w:rFonts w:eastAsia="Calibri"/>
          <w:bCs/>
          <w:lang w:eastAsia="en-US"/>
        </w:rPr>
        <w:t xml:space="preserve"> рассеянным склерозом, у которых в анамнезе имеется менее 2 обострений за последние 2 </w:t>
      </w:r>
      <w:r w:rsidRPr="008230C7">
        <w:rPr>
          <w:rFonts w:eastAsia="Calibri"/>
          <w:bCs/>
          <w:lang w:eastAsia="en-US"/>
        </w:rPr>
        <w:lastRenderedPageBreak/>
        <w:t>года или у пациентов с вторично-прогрессирующим рассеянным склерозом, у которых не отмечалось обострения заболевания за последние 2 года.</w:t>
      </w:r>
    </w:p>
    <w:p w14:paraId="4C0A574E" w14:textId="77777777" w:rsidR="00585044" w:rsidRPr="008230C7" w:rsidRDefault="00585044" w:rsidP="00585044">
      <w:pPr>
        <w:spacing w:line="259" w:lineRule="auto"/>
        <w:jc w:val="both"/>
        <w:rPr>
          <w:rFonts w:eastAsia="Calibri"/>
          <w:bCs/>
          <w:lang w:eastAsia="en-US"/>
        </w:rPr>
      </w:pPr>
    </w:p>
    <w:p w14:paraId="43C42CF8" w14:textId="77777777" w:rsidR="00585044" w:rsidRPr="008230C7" w:rsidRDefault="00585044" w:rsidP="00585044">
      <w:pPr>
        <w:spacing w:line="259" w:lineRule="auto"/>
        <w:jc w:val="both"/>
        <w:rPr>
          <w:rFonts w:eastAsia="Calibri"/>
          <w:b/>
          <w:lang w:eastAsia="en-US"/>
        </w:rPr>
      </w:pPr>
      <w:r w:rsidRPr="008230C7">
        <w:rPr>
          <w:rFonts w:eastAsia="Calibri"/>
          <w:b/>
          <w:lang w:eastAsia="en-US"/>
        </w:rPr>
        <w:t>Информация о нежелательных реакциях</w:t>
      </w:r>
    </w:p>
    <w:p w14:paraId="57FDF392" w14:textId="77777777" w:rsidR="00585044" w:rsidRPr="008230C7" w:rsidRDefault="00585044" w:rsidP="00585044">
      <w:pPr>
        <w:spacing w:line="259" w:lineRule="auto"/>
        <w:jc w:val="both"/>
        <w:rPr>
          <w:rFonts w:eastAsia="Calibri"/>
          <w:lang w:eastAsia="en-US"/>
        </w:rPr>
      </w:pPr>
      <w:r w:rsidRPr="008230C7">
        <w:rPr>
          <w:rFonts w:eastAsia="Calibri"/>
          <w:lang w:eastAsia="en-US"/>
        </w:rPr>
        <w:t>Возникновение нежелательных реакций обычно сопутствует началу терапии. Частота их возникновения снижается с течением времени.</w:t>
      </w:r>
    </w:p>
    <w:p w14:paraId="4475FAD6" w14:textId="77777777" w:rsidR="00585044" w:rsidRPr="008230C7" w:rsidRDefault="00585044" w:rsidP="00585044">
      <w:pPr>
        <w:spacing w:line="259" w:lineRule="auto"/>
        <w:jc w:val="both"/>
        <w:rPr>
          <w:rFonts w:eastAsia="Calibri"/>
          <w:lang w:eastAsia="en-US"/>
        </w:rPr>
      </w:pPr>
      <w:r w:rsidRPr="008230C7">
        <w:rPr>
          <w:rFonts w:eastAsia="Calibri"/>
          <w:lang w:eastAsia="en-US"/>
        </w:rPr>
        <w:t xml:space="preserve">Наиболее часто может возникать комплекс гриппоподобных симптомов (лихорадка, озноб, артралгия, общее недомогание, потливость, головная боль или миалгия), обусловленный фармакологическим действием препарата Интербетин. </w:t>
      </w:r>
      <w:r w:rsidRPr="008230C7">
        <w:rPr>
          <w:rFonts w:eastAsia="Arial Unicode MS"/>
          <w:color w:val="000000"/>
          <w:lang w:eastAsia="en-US" w:bidi="ru-RU"/>
        </w:rPr>
        <w:t>Часто у пациентов после введения интерферона бета-</w:t>
      </w:r>
      <w:r w:rsidRPr="008230C7">
        <w:rPr>
          <w:rFonts w:eastAsia="Arial Unicode MS"/>
          <w:color w:val="000000"/>
          <w:lang w:eastAsia="en-US" w:bidi="en-US"/>
        </w:rPr>
        <w:t>1</w:t>
      </w:r>
      <w:r w:rsidRPr="008230C7">
        <w:rPr>
          <w:rFonts w:eastAsia="Arial Unicode MS"/>
          <w:color w:val="000000"/>
          <w:lang w:val="en-US" w:eastAsia="en-US" w:bidi="en-US"/>
        </w:rPr>
        <w:t>b</w:t>
      </w:r>
      <w:r w:rsidRPr="008230C7">
        <w:rPr>
          <w:rFonts w:eastAsia="Arial Unicode MS"/>
          <w:color w:val="000000"/>
          <w:lang w:eastAsia="en-US" w:bidi="en-US"/>
        </w:rPr>
        <w:t xml:space="preserve"> </w:t>
      </w:r>
      <w:r w:rsidRPr="008230C7">
        <w:rPr>
          <w:rFonts w:eastAsia="Arial Unicode MS"/>
          <w:color w:val="000000"/>
          <w:lang w:eastAsia="en-US" w:bidi="ru-RU"/>
        </w:rPr>
        <w:t xml:space="preserve">в дозе 0,25 мг (8 млн. </w:t>
      </w:r>
      <w:r w:rsidRPr="008230C7">
        <w:rPr>
          <w:rFonts w:eastAsia="Arial Unicode MS"/>
          <w:color w:val="000000"/>
          <w:lang w:val="en-US" w:eastAsia="en-US" w:bidi="en-US"/>
        </w:rPr>
        <w:t>ME</w:t>
      </w:r>
      <w:r w:rsidRPr="008230C7">
        <w:rPr>
          <w:rFonts w:eastAsia="Arial Unicode MS"/>
          <w:color w:val="000000"/>
          <w:lang w:eastAsia="en-US" w:bidi="en-US"/>
        </w:rPr>
        <w:t xml:space="preserve">) </w:t>
      </w:r>
      <w:r w:rsidRPr="008230C7">
        <w:rPr>
          <w:rFonts w:eastAsia="Arial Unicode MS"/>
          <w:color w:val="000000"/>
          <w:lang w:eastAsia="en-US" w:bidi="ru-RU"/>
        </w:rPr>
        <w:t xml:space="preserve">возникают реакции в месте введения (например, покраснение, отек, изменение цвета кожи, воспаление, боль, гиперчувствительность, некроз и неспецифические реакции). </w:t>
      </w:r>
      <w:r w:rsidRPr="008230C7">
        <w:rPr>
          <w:rFonts w:eastAsia="Calibri"/>
          <w:lang w:eastAsia="en-US"/>
        </w:rPr>
        <w:t xml:space="preserve">Рекомендуется проводить титрование дозы в начале лечения. Выраженность гриппоподобных симптомов можно ослабить, применяя нестероидные противовоспалительные препараты. Использование </w:t>
      </w:r>
      <w:proofErr w:type="spellStart"/>
      <w:r w:rsidRPr="008230C7">
        <w:rPr>
          <w:rFonts w:eastAsia="Calibri"/>
          <w:lang w:eastAsia="en-US"/>
        </w:rPr>
        <w:t>автоинжектора</w:t>
      </w:r>
      <w:proofErr w:type="spellEnd"/>
      <w:r w:rsidRPr="008230C7">
        <w:rPr>
          <w:rFonts w:eastAsia="Calibri"/>
          <w:lang w:eastAsia="en-US"/>
        </w:rPr>
        <w:t xml:space="preserve"> позволяет снизить частоту возникновения реакций в месте инъекции.</w:t>
      </w:r>
    </w:p>
    <w:p w14:paraId="7D24B290" w14:textId="77777777" w:rsidR="00585044" w:rsidRPr="008230C7" w:rsidRDefault="00585044" w:rsidP="00585044">
      <w:pPr>
        <w:widowControl w:val="0"/>
        <w:spacing w:line="259" w:lineRule="auto"/>
        <w:jc w:val="both"/>
        <w:rPr>
          <w:rFonts w:eastAsia="Arial Unicode MS"/>
          <w:color w:val="000000"/>
          <w:lang w:eastAsia="en-US" w:bidi="ru-RU"/>
        </w:rPr>
      </w:pPr>
    </w:p>
    <w:p w14:paraId="03E341D1" w14:textId="77777777" w:rsidR="00585044" w:rsidRPr="008230C7" w:rsidRDefault="00585044" w:rsidP="00585044">
      <w:pPr>
        <w:spacing w:line="259" w:lineRule="auto"/>
        <w:jc w:val="both"/>
        <w:rPr>
          <w:rFonts w:eastAsia="Calibri"/>
          <w:b/>
          <w:lang w:eastAsia="en-US"/>
        </w:rPr>
      </w:pPr>
      <w:r w:rsidRPr="008230C7">
        <w:rPr>
          <w:rFonts w:eastAsia="Calibri"/>
          <w:b/>
          <w:lang w:eastAsia="en-US"/>
        </w:rPr>
        <w:t>Сообщение о подозреваемых нежелательных реакциях</w:t>
      </w:r>
    </w:p>
    <w:p w14:paraId="40609A03" w14:textId="77777777" w:rsidR="00585044" w:rsidRPr="008230C7" w:rsidRDefault="00585044" w:rsidP="00585044">
      <w:pPr>
        <w:jc w:val="both"/>
      </w:pPr>
      <w:r w:rsidRPr="008230C7">
        <w:t>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«польза-риск» лекарственного препарата. Медицинским работникам рекомендуется сообщать о любых подозреваемых нежелательных реакциях лекарственного препарата через национальную систему сообщения о нежелательных реакциях Республики Казахстан:</w:t>
      </w:r>
    </w:p>
    <w:p w14:paraId="55012993" w14:textId="77777777" w:rsidR="00585044" w:rsidRPr="008230C7" w:rsidRDefault="00585044" w:rsidP="00585044">
      <w:pPr>
        <w:jc w:val="both"/>
      </w:pPr>
      <w:r w:rsidRPr="008230C7">
        <w:t>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p w14:paraId="28A4C6FE" w14:textId="77777777" w:rsidR="00585044" w:rsidRPr="008230C7" w:rsidRDefault="00585044" w:rsidP="00585044">
      <w:pPr>
        <w:jc w:val="both"/>
      </w:pPr>
      <w:hyperlink r:id="rId4" w:history="1">
        <w:r w:rsidRPr="008230C7">
          <w:t>http://www.ndda.kz</w:t>
        </w:r>
      </w:hyperlink>
    </w:p>
    <w:p w14:paraId="5472C8E7" w14:textId="77777777" w:rsidR="00585044" w:rsidRPr="008230C7" w:rsidRDefault="00585044" w:rsidP="00585044">
      <w:pPr>
        <w:spacing w:line="259" w:lineRule="auto"/>
        <w:jc w:val="both"/>
        <w:rPr>
          <w:rFonts w:eastAsia="Calibri"/>
          <w:lang w:eastAsia="en-US"/>
        </w:rPr>
      </w:pPr>
    </w:p>
    <w:p w14:paraId="52921C76" w14:textId="77777777" w:rsidR="00585044" w:rsidRPr="008230C7" w:rsidRDefault="00585044" w:rsidP="00585044">
      <w:pPr>
        <w:jc w:val="both"/>
        <w:rPr>
          <w:rFonts w:eastAsia="Calibri"/>
          <w:lang w:eastAsia="en-US"/>
        </w:rPr>
      </w:pPr>
      <w:r w:rsidRPr="008230C7">
        <w:rPr>
          <w:rFonts w:eastAsia="Calibri"/>
          <w:lang w:eastAsia="en-US"/>
        </w:rPr>
        <w:t>О нежелательных реакциях также следует сообщать ТОО «КФК», отдел фармаконадзора:</w:t>
      </w:r>
    </w:p>
    <w:p w14:paraId="4A5AACD7" w14:textId="77777777" w:rsidR="00585044" w:rsidRPr="008230C7" w:rsidRDefault="00585044" w:rsidP="00585044">
      <w:pPr>
        <w:spacing w:line="259" w:lineRule="auto"/>
        <w:jc w:val="both"/>
        <w:rPr>
          <w:rFonts w:eastAsia="Calibri"/>
          <w:lang w:eastAsia="en-US"/>
        </w:rPr>
      </w:pPr>
      <w:r w:rsidRPr="008230C7">
        <w:rPr>
          <w:rFonts w:eastAsia="Calibri"/>
          <w:lang w:eastAsia="en-US"/>
        </w:rPr>
        <w:t>ТОО «Карагандинский фармацевтический комплекс» Республика Казахстан</w:t>
      </w:r>
    </w:p>
    <w:p w14:paraId="13A58302" w14:textId="77777777" w:rsidR="00585044" w:rsidRPr="008230C7" w:rsidRDefault="00585044" w:rsidP="00585044">
      <w:pPr>
        <w:spacing w:line="259" w:lineRule="auto"/>
        <w:jc w:val="both"/>
        <w:rPr>
          <w:rFonts w:eastAsia="Calibri"/>
          <w:lang w:eastAsia="en-US"/>
        </w:rPr>
      </w:pPr>
      <w:r w:rsidRPr="008230C7">
        <w:rPr>
          <w:rFonts w:eastAsia="Calibri"/>
          <w:lang w:eastAsia="en-US"/>
        </w:rPr>
        <w:t>100009, г. Караганда, ул. Газалиева, стр. 16</w:t>
      </w:r>
    </w:p>
    <w:p w14:paraId="4F9FA178" w14:textId="77777777" w:rsidR="00585044" w:rsidRPr="008230C7" w:rsidRDefault="00585044" w:rsidP="00585044">
      <w:pPr>
        <w:spacing w:line="259" w:lineRule="auto"/>
        <w:jc w:val="both"/>
        <w:rPr>
          <w:rFonts w:eastAsia="Calibri"/>
          <w:lang w:eastAsia="en-US"/>
        </w:rPr>
      </w:pPr>
      <w:r w:rsidRPr="008230C7">
        <w:rPr>
          <w:rFonts w:eastAsia="Calibri"/>
          <w:lang w:eastAsia="en-US"/>
        </w:rPr>
        <w:t xml:space="preserve">Номер телефона 8 (7212) 90-80-43, факс (7212) 90-65-49 </w:t>
      </w:r>
    </w:p>
    <w:p w14:paraId="3A0245D8" w14:textId="77777777" w:rsidR="00585044" w:rsidRPr="008230C7" w:rsidRDefault="00585044" w:rsidP="00585044">
      <w:pPr>
        <w:spacing w:line="259" w:lineRule="auto"/>
        <w:jc w:val="both"/>
        <w:rPr>
          <w:rFonts w:eastAsia="Calibri"/>
          <w:lang w:eastAsia="en-US"/>
        </w:rPr>
      </w:pPr>
      <w:r w:rsidRPr="008230C7">
        <w:rPr>
          <w:rFonts w:eastAsia="Calibri"/>
          <w:lang w:eastAsia="en-US"/>
        </w:rPr>
        <w:t>Адрес электронной почты medinfo@kphk.kz.</w:t>
      </w:r>
    </w:p>
    <w:p w14:paraId="043E53BA" w14:textId="77777777" w:rsidR="00585044" w:rsidRPr="008230C7" w:rsidRDefault="00585044" w:rsidP="00585044">
      <w:pPr>
        <w:spacing w:line="259" w:lineRule="auto"/>
        <w:jc w:val="both"/>
        <w:rPr>
          <w:rFonts w:eastAsia="Calibri"/>
          <w:b/>
          <w:lang w:eastAsia="en-US"/>
        </w:rPr>
      </w:pPr>
    </w:p>
    <w:p w14:paraId="661EBB65" w14:textId="77777777" w:rsidR="00585044" w:rsidRPr="008230C7" w:rsidRDefault="00585044" w:rsidP="00585044">
      <w:pPr>
        <w:spacing w:line="259" w:lineRule="auto"/>
        <w:jc w:val="both"/>
        <w:rPr>
          <w:rFonts w:eastAsia="Calibri"/>
          <w:b/>
          <w:lang w:eastAsia="en-US"/>
        </w:rPr>
      </w:pPr>
      <w:r w:rsidRPr="008230C7">
        <w:rPr>
          <w:rFonts w:eastAsia="Calibri"/>
          <w:b/>
          <w:lang w:eastAsia="en-US"/>
        </w:rPr>
        <w:t>Адрес и номер телефона Компании</w:t>
      </w:r>
    </w:p>
    <w:p w14:paraId="4407EDB4" w14:textId="77777777" w:rsidR="00585044" w:rsidRPr="008230C7" w:rsidRDefault="00585044" w:rsidP="00585044">
      <w:pPr>
        <w:spacing w:line="259" w:lineRule="auto"/>
        <w:jc w:val="both"/>
        <w:rPr>
          <w:rFonts w:eastAsia="Calibri"/>
          <w:lang w:eastAsia="en-US"/>
        </w:rPr>
      </w:pPr>
      <w:r w:rsidRPr="008230C7">
        <w:rPr>
          <w:rFonts w:eastAsia="Calibri"/>
          <w:lang w:eastAsia="en-US"/>
        </w:rPr>
        <w:t xml:space="preserve">Если у вас возникнут какие-либо вопросы или потребуется дополнительная информация, вы можете обратиться в отдел </w:t>
      </w:r>
      <w:proofErr w:type="spellStart"/>
      <w:r w:rsidRPr="008230C7">
        <w:rPr>
          <w:rFonts w:eastAsia="Calibri"/>
          <w:lang w:eastAsia="en-US"/>
        </w:rPr>
        <w:t>фармакоандзора</w:t>
      </w:r>
      <w:proofErr w:type="spellEnd"/>
      <w:r w:rsidRPr="008230C7">
        <w:rPr>
          <w:rFonts w:eastAsia="Calibri"/>
          <w:lang w:eastAsia="en-US"/>
        </w:rPr>
        <w:t xml:space="preserve"> по адресу: </w:t>
      </w:r>
    </w:p>
    <w:p w14:paraId="7F36EE53" w14:textId="77777777" w:rsidR="00585044" w:rsidRPr="008230C7" w:rsidRDefault="00585044" w:rsidP="00585044">
      <w:pPr>
        <w:spacing w:line="259" w:lineRule="auto"/>
        <w:jc w:val="both"/>
        <w:rPr>
          <w:rFonts w:eastAsia="Calibri"/>
          <w:lang w:eastAsia="en-US"/>
        </w:rPr>
      </w:pPr>
      <w:r w:rsidRPr="008230C7">
        <w:rPr>
          <w:rFonts w:eastAsia="Calibri"/>
          <w:lang w:eastAsia="en-US"/>
        </w:rPr>
        <w:t>ТОО «Карагандинский фармацевтический комплекс» Республика Казахстан</w:t>
      </w:r>
    </w:p>
    <w:p w14:paraId="7961E17B" w14:textId="77777777" w:rsidR="00585044" w:rsidRPr="008230C7" w:rsidRDefault="00585044" w:rsidP="00585044">
      <w:pPr>
        <w:spacing w:line="259" w:lineRule="auto"/>
        <w:jc w:val="both"/>
        <w:rPr>
          <w:rFonts w:eastAsia="Calibri"/>
          <w:lang w:eastAsia="en-US"/>
        </w:rPr>
      </w:pPr>
      <w:r w:rsidRPr="008230C7">
        <w:rPr>
          <w:rFonts w:eastAsia="Calibri"/>
          <w:lang w:eastAsia="en-US"/>
        </w:rPr>
        <w:t>100009, г. Караганда, ул. Газалиева, стр. 16</w:t>
      </w:r>
    </w:p>
    <w:p w14:paraId="3B142B49" w14:textId="77777777" w:rsidR="00585044" w:rsidRPr="008230C7" w:rsidRDefault="00585044" w:rsidP="00585044">
      <w:pPr>
        <w:spacing w:line="259" w:lineRule="auto"/>
        <w:jc w:val="both"/>
        <w:rPr>
          <w:rFonts w:eastAsia="Calibri"/>
          <w:lang w:eastAsia="en-US"/>
        </w:rPr>
      </w:pPr>
      <w:r w:rsidRPr="008230C7">
        <w:rPr>
          <w:rFonts w:eastAsia="Calibri"/>
          <w:lang w:eastAsia="en-US"/>
        </w:rPr>
        <w:t>Номер телефона (7212) 90-80-43, факс (7212) 90-65-49</w:t>
      </w:r>
    </w:p>
    <w:p w14:paraId="0FCD7640" w14:textId="77777777" w:rsidR="00585044" w:rsidRPr="008230C7" w:rsidRDefault="00585044" w:rsidP="00585044">
      <w:pPr>
        <w:spacing w:line="259" w:lineRule="auto"/>
        <w:jc w:val="both"/>
        <w:rPr>
          <w:rFonts w:eastAsia="Calibri"/>
          <w:lang w:eastAsia="en-US"/>
        </w:rPr>
      </w:pPr>
      <w:r w:rsidRPr="008230C7">
        <w:rPr>
          <w:rFonts w:eastAsia="Calibri"/>
          <w:lang w:eastAsia="en-US"/>
        </w:rPr>
        <w:t>Адрес электронной почты medinfo@kphk.kz.</w:t>
      </w:r>
    </w:p>
    <w:p w14:paraId="7D21FEA9" w14:textId="77777777" w:rsidR="00FA4AFF" w:rsidRDefault="00FA4AFF"/>
    <w:sectPr w:rsidR="00FA4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C6"/>
    <w:rsid w:val="002E1166"/>
    <w:rsid w:val="003300C6"/>
    <w:rsid w:val="00585044"/>
    <w:rsid w:val="00CA1CFE"/>
    <w:rsid w:val="00E8753E"/>
    <w:rsid w:val="00FA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0D45"/>
  <w15:chartTrackingRefBased/>
  <w15:docId w15:val="{A55F5162-36F4-4833-B54A-47C899D0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04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3300C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300C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300C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300C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300C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300C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300C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300C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300C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0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300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300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300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300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300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00C6"/>
    <w:rPr>
      <w:rFonts w:eastAsiaTheme="majorEastAsia" w:cstheme="majorBidi"/>
      <w:color w:val="595959" w:themeColor="text1" w:themeTint="A6"/>
    </w:rPr>
  </w:style>
  <w:style w:type="character" w:customStyle="1" w:styleId="80">
    <w:name w:val="Заголовок 8 Знак"/>
    <w:basedOn w:val="a0"/>
    <w:link w:val="8"/>
    <w:uiPriority w:val="9"/>
    <w:semiHidden/>
    <w:rsid w:val="003300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00C6"/>
    <w:rPr>
      <w:rFonts w:eastAsiaTheme="majorEastAsia" w:cstheme="majorBidi"/>
      <w:color w:val="272727" w:themeColor="text1" w:themeTint="D8"/>
    </w:rPr>
  </w:style>
  <w:style w:type="paragraph" w:styleId="a3">
    <w:name w:val="Title"/>
    <w:basedOn w:val="a"/>
    <w:next w:val="a"/>
    <w:link w:val="a4"/>
    <w:uiPriority w:val="10"/>
    <w:qFormat/>
    <w:rsid w:val="003300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30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0C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300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00C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3300C6"/>
    <w:rPr>
      <w:i/>
      <w:iCs/>
      <w:color w:val="404040" w:themeColor="text1" w:themeTint="BF"/>
    </w:rPr>
  </w:style>
  <w:style w:type="paragraph" w:styleId="a7">
    <w:name w:val="List Paragraph"/>
    <w:basedOn w:val="a"/>
    <w:uiPriority w:val="34"/>
    <w:qFormat/>
    <w:rsid w:val="003300C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3300C6"/>
    <w:rPr>
      <w:i/>
      <w:iCs/>
      <w:color w:val="2F5496" w:themeColor="accent1" w:themeShade="BF"/>
    </w:rPr>
  </w:style>
  <w:style w:type="paragraph" w:styleId="a9">
    <w:name w:val="Intense Quote"/>
    <w:basedOn w:val="a"/>
    <w:next w:val="a"/>
    <w:link w:val="aa"/>
    <w:uiPriority w:val="30"/>
    <w:qFormat/>
    <w:rsid w:val="003300C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3300C6"/>
    <w:rPr>
      <w:i/>
      <w:iCs/>
      <w:color w:val="2F5496" w:themeColor="accent1" w:themeShade="BF"/>
    </w:rPr>
  </w:style>
  <w:style w:type="character" w:styleId="ab">
    <w:name w:val="Intense Reference"/>
    <w:basedOn w:val="a0"/>
    <w:uiPriority w:val="32"/>
    <w:qFormat/>
    <w:rsid w:val="003300C6"/>
    <w:rPr>
      <w:b/>
      <w:bCs/>
      <w:smallCaps/>
      <w:color w:val="2F5496" w:themeColor="accent1" w:themeShade="BF"/>
      <w:spacing w:val="5"/>
    </w:rPr>
  </w:style>
  <w:style w:type="character" w:styleId="ac">
    <w:name w:val="Hyperlink"/>
    <w:uiPriority w:val="99"/>
    <w:rsid w:val="00585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d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Полторак</dc:creator>
  <cp:keywords/>
  <dc:description/>
  <cp:lastModifiedBy>Наталья А. Полторак</cp:lastModifiedBy>
  <cp:revision>2</cp:revision>
  <dcterms:created xsi:type="dcterms:W3CDTF">2025-03-17T07:59:00Z</dcterms:created>
  <dcterms:modified xsi:type="dcterms:W3CDTF">2025-03-17T07:59:00Z</dcterms:modified>
</cp:coreProperties>
</file>