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8EB4C" w14:textId="77777777" w:rsidR="00A00725" w:rsidRPr="00683AD3" w:rsidRDefault="00264D6C" w:rsidP="00174E56">
      <w:pPr>
        <w:pStyle w:val="11"/>
        <w:widowControl/>
        <w:spacing w:before="1080" w:after="240" w:line="298" w:lineRule="auto"/>
        <w:rPr>
          <w:sz w:val="22"/>
          <w:szCs w:val="22"/>
        </w:rPr>
      </w:pPr>
      <w:r>
        <w:rPr>
          <w:sz w:val="22"/>
        </w:rPr>
        <w:t>Декабрь 2021 г.</w:t>
      </w:r>
    </w:p>
    <w:tbl>
      <w:tblPr>
        <w:tblStyle w:val="a8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94"/>
      </w:tblGrid>
      <w:tr w:rsidR="001B2987" w:rsidRPr="00683AD3" w14:paraId="40A49D88" w14:textId="77777777" w:rsidTr="001B2987">
        <w:tc>
          <w:tcPr>
            <w:tcW w:w="9394" w:type="dxa"/>
          </w:tcPr>
          <w:p w14:paraId="542C401E" w14:textId="7CDE70C7" w:rsidR="001B2987" w:rsidRPr="00683AD3" w:rsidRDefault="001B2987" w:rsidP="00174E56">
            <w:pPr>
              <w:pStyle w:val="11"/>
              <w:widowControl/>
              <w:spacing w:before="120" w:after="120" w:line="298" w:lineRule="auto"/>
              <w:ind w:left="82" w:right="284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Тема: ВАЖНОЕ ПРЕДУПРЕЖДЕНИЕ О ЛЕКАРСТВЕННОМ ПРЕПАРАТЕ — изменение в РАМКЕ С ПРЕДУПРЕЖДЕНИЕМ: серьезные риски в отношении летальных исходов, злокачественных новообразований, серьезных нежелательных сердечно-сосудистых явлений</w:t>
            </w:r>
            <w:r w:rsidR="008D7EEF">
              <w:rPr>
                <w:b/>
                <w:sz w:val="22"/>
              </w:rPr>
              <w:t xml:space="preserve"> (СНССЯ)</w:t>
            </w:r>
            <w:r>
              <w:rPr>
                <w:b/>
                <w:sz w:val="22"/>
              </w:rPr>
              <w:t xml:space="preserve"> и тромбоз</w:t>
            </w:r>
            <w:r w:rsidR="008D7EEF">
              <w:rPr>
                <w:b/>
                <w:sz w:val="22"/>
              </w:rPr>
              <w:t>ов</w:t>
            </w:r>
            <w:r>
              <w:rPr>
                <w:b/>
                <w:sz w:val="22"/>
              </w:rPr>
              <w:t xml:space="preserve"> при применении препарата </w:t>
            </w:r>
            <w:r w:rsidR="005878A4">
              <w:rPr>
                <w:b/>
                <w:sz w:val="22"/>
              </w:rPr>
              <w:t>КСЕЛЬЖАНС</w:t>
            </w:r>
            <w:r>
              <w:rPr>
                <w:b/>
                <w:sz w:val="22"/>
              </w:rPr>
              <w:t xml:space="preserve"> (тофацитиниб) и изменения показаний к применению при ревматоидном артрите, псориатическом артрите, полиартикулярном ювенильном идиопатическом артрите</w:t>
            </w:r>
          </w:p>
        </w:tc>
      </w:tr>
    </w:tbl>
    <w:p w14:paraId="1C1BE708" w14:textId="51C29C69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>Уважаемые медицинские работники!</w:t>
      </w:r>
    </w:p>
    <w:p w14:paraId="757ADBB8" w14:textId="337C34DA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Цель настоящего письма — проинформировать вас о важной информации по безопасности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(тофацитиниб), который одобрен для применения у взрослых с активной стадией умеренного или тяжелого ревматоидного артрита (РА), с активной стадией псориатического артрита (ПсА). (См. полные показания, включая ограничения применения, в полной инструкции по медицинскому применению препарата.)</w:t>
      </w:r>
    </w:p>
    <w:p w14:paraId="054C1C6E" w14:textId="5B9AD1A3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На основании окончательных результатов завершенного пострегистрационного наблюдения </w:t>
      </w:r>
      <w:bookmarkStart w:id="0" w:name="_GoBack"/>
      <w:bookmarkEnd w:id="0"/>
      <w:r>
        <w:rPr>
          <w:sz w:val="22"/>
        </w:rPr>
        <w:t xml:space="preserve">за соблюдением требований по безопасности в клинических исследованиях ORAL с пероральным приемом препарата (A3921133; NCT02092467) были пересмотрены инструкция по медицинскому применению препарата и листок-вкладыш для препарата </w:t>
      </w:r>
      <w:r w:rsidR="005878A4">
        <w:rPr>
          <w:sz w:val="22"/>
        </w:rPr>
        <w:t>КСЕЛЬЖАНС</w:t>
      </w:r>
      <w:r w:rsidRPr="00BD42DB">
        <w:rPr>
          <w:sz w:val="22"/>
        </w:rPr>
        <w:t>,</w:t>
      </w:r>
      <w:r>
        <w:rPr>
          <w:sz w:val="22"/>
        </w:rPr>
        <w:t xml:space="preserve"> чтобы проинформировать о повышенной смертности по любой причине, злокачественных новообразованиях, </w:t>
      </w:r>
      <w:r w:rsidR="00572ABC" w:rsidRPr="00572ABC">
        <w:rPr>
          <w:sz w:val="22"/>
        </w:rPr>
        <w:t xml:space="preserve">серьезных нежелательных сердечно-сосудистых </w:t>
      </w:r>
      <w:r w:rsidR="00572ABC" w:rsidRPr="003D00DD">
        <w:rPr>
          <w:sz w:val="22"/>
        </w:rPr>
        <w:t>явлений</w:t>
      </w:r>
      <w:r w:rsidR="00572ABC" w:rsidRPr="006E64E3">
        <w:rPr>
          <w:sz w:val="22"/>
        </w:rPr>
        <w:t xml:space="preserve"> </w:t>
      </w:r>
      <w:bookmarkStart w:id="1" w:name="_Hlk95374526"/>
      <w:r w:rsidR="00572ABC" w:rsidRPr="006E64E3">
        <w:rPr>
          <w:sz w:val="22"/>
        </w:rPr>
        <w:t>(</w:t>
      </w:r>
      <w:r w:rsidRPr="003D00DD">
        <w:rPr>
          <w:sz w:val="22"/>
        </w:rPr>
        <w:t>СНССЯ</w:t>
      </w:r>
      <w:r w:rsidR="00572ABC" w:rsidRPr="006E64E3">
        <w:rPr>
          <w:sz w:val="22"/>
        </w:rPr>
        <w:t>)</w:t>
      </w:r>
      <w:bookmarkEnd w:id="1"/>
      <w:r>
        <w:rPr>
          <w:sz w:val="22"/>
        </w:rPr>
        <w:t xml:space="preserve"> и </w:t>
      </w:r>
      <w:r w:rsidR="008D7EEF">
        <w:rPr>
          <w:sz w:val="22"/>
        </w:rPr>
        <w:t xml:space="preserve">тромбозах </w:t>
      </w:r>
      <w:r>
        <w:rPr>
          <w:sz w:val="22"/>
        </w:rPr>
        <w:t xml:space="preserve">у пациентов, получавших 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>, по сравнению с пациентами, получавшими лечение блокаторами фактора некроза опухоли (ФНО), а также проинформировать о внесении изменений в ИНСТРУКЦИЮ ПО МЕДИЦИНСКОМУ ПРИМЕНЕНИЮ ПРЕПАРАТА у пациентов с РА, ПсА и паЮИА.</w:t>
      </w:r>
    </w:p>
    <w:p w14:paraId="53EB61BB" w14:textId="777777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lastRenderedPageBreak/>
        <w:t>В инструкцию по медицинскому применению препарата внесены следующие изменения:</w:t>
      </w:r>
    </w:p>
    <w:p w14:paraId="08111E80" w14:textId="77777777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0" w:line="298" w:lineRule="auto"/>
        <w:ind w:left="709" w:hanging="426"/>
        <w:rPr>
          <w:sz w:val="22"/>
          <w:szCs w:val="22"/>
        </w:rPr>
      </w:pPr>
      <w:r>
        <w:rPr>
          <w:b/>
          <w:bCs/>
          <w:sz w:val="22"/>
        </w:rPr>
        <w:t>ОСОБОЕ ПРЕДУПРЕЖДЕНИЕ В РАМКЕ:</w:t>
      </w:r>
      <w:r>
        <w:rPr>
          <w:sz w:val="22"/>
        </w:rPr>
        <w:t xml:space="preserve"> были добавлены СНССЯ, и были внесены изменения в информацию о летальных исходах, злокачественных новообразованиях и тромбозе; </w:t>
      </w:r>
      <w:r>
        <w:rPr>
          <w:b/>
          <w:sz w:val="22"/>
        </w:rPr>
        <w:t>«ОСОБОЕ ПРЕДУПРЕЖДЕНИЕ В РАМКЕ»</w:t>
      </w:r>
      <w:r>
        <w:rPr>
          <w:sz w:val="22"/>
        </w:rPr>
        <w:t xml:space="preserve"> см. ниже.</w:t>
      </w:r>
    </w:p>
    <w:p w14:paraId="13CBC6A1" w14:textId="77777777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0" w:line="298" w:lineRule="auto"/>
        <w:ind w:left="709" w:hanging="426"/>
        <w:rPr>
          <w:sz w:val="22"/>
          <w:szCs w:val="22"/>
        </w:rPr>
      </w:pPr>
      <w:r>
        <w:rPr>
          <w:sz w:val="22"/>
        </w:rPr>
        <w:t>Показания и применение (раздел 1): были внесены изменения, согласно которым требовалось, чтобы у пациентов наблюдался недостаточный ответ или непереносимость одного или нескольких блокаторов ФНО при лечении РА, ПсА или паЮИА.</w:t>
      </w:r>
    </w:p>
    <w:p w14:paraId="0B8FD5D3" w14:textId="77777777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0" w:line="298" w:lineRule="auto"/>
        <w:ind w:left="709" w:hanging="426"/>
        <w:rPr>
          <w:sz w:val="22"/>
          <w:szCs w:val="22"/>
        </w:rPr>
      </w:pPr>
      <w:r>
        <w:rPr>
          <w:sz w:val="22"/>
        </w:rPr>
        <w:t>Предупреждения и меры предосторожности (раздел 5): были добавлены СНССЯ (раздел 5.4) и внесены изменения в летальные исходы (раздел 5.2), злокачественные и лимфопролиферативные заболевания (раздел 5.3) и тромбоз (раздел 5.5).</w:t>
      </w:r>
    </w:p>
    <w:p w14:paraId="280AB022" w14:textId="77777777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0" w:line="298" w:lineRule="auto"/>
        <w:ind w:left="709" w:hanging="426"/>
        <w:rPr>
          <w:sz w:val="22"/>
          <w:szCs w:val="22"/>
        </w:rPr>
      </w:pPr>
      <w:r>
        <w:rPr>
          <w:sz w:val="22"/>
        </w:rPr>
        <w:t>Клинические исследования (раздел 14): была добавлена информация об исследовании по наблюдению ORAL (раздел 14.5), включая результаты для каждой составной первичной конечной точки и других конечных точек.</w:t>
      </w:r>
    </w:p>
    <w:p w14:paraId="3D13CFD5" w14:textId="3839852C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  <w:u w:val="single"/>
        </w:rPr>
        <w:t xml:space="preserve">Серьезные риски применения препарата </w:t>
      </w:r>
      <w:r w:rsidR="005878A4">
        <w:rPr>
          <w:b/>
          <w:sz w:val="22"/>
          <w:u w:val="single"/>
        </w:rPr>
        <w:t>КСЕЛЬЖАНС</w:t>
      </w:r>
    </w:p>
    <w:p w14:paraId="3C190328" w14:textId="3EBEF828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>К ним относятся серьезные инфекции, летальные исходы, злокачественные новообразования, серьезные нежелательные сердечно-сосудистые явления</w:t>
      </w:r>
      <w:r w:rsidR="00F114B3" w:rsidRPr="006E64E3">
        <w:rPr>
          <w:sz w:val="22"/>
        </w:rPr>
        <w:t xml:space="preserve"> </w:t>
      </w:r>
      <w:r w:rsidR="00F114B3" w:rsidRPr="00F114B3">
        <w:rPr>
          <w:sz w:val="22"/>
        </w:rPr>
        <w:t>(СНССЯ)</w:t>
      </w:r>
      <w:r>
        <w:rPr>
          <w:sz w:val="22"/>
        </w:rPr>
        <w:t xml:space="preserve"> и тромбоз.</w:t>
      </w:r>
    </w:p>
    <w:p w14:paraId="269AFB23" w14:textId="3CC49CC4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«ОСОБОЕ ПРЕДУПРЕЖДЕНИЕ В РАМКЕ» </w:t>
      </w:r>
      <w:r>
        <w:rPr>
          <w:sz w:val="22"/>
        </w:rPr>
        <w:t xml:space="preserve">было обновлено для включения серьезных нежелательных сердечно-сосудистых явлений </w:t>
      </w:r>
      <w:r w:rsidR="00845369" w:rsidRPr="00845369">
        <w:rPr>
          <w:sz w:val="22"/>
        </w:rPr>
        <w:t>(СНССЯ)</w:t>
      </w:r>
      <w:r w:rsidR="00845369" w:rsidRPr="006E64E3">
        <w:rPr>
          <w:sz w:val="22"/>
        </w:rPr>
        <w:t xml:space="preserve"> </w:t>
      </w:r>
      <w:r>
        <w:rPr>
          <w:sz w:val="22"/>
        </w:rPr>
        <w:t>и исправлено с учетом летальных исходов, злокачественных новообразований и тромбоза следующим образом:</w:t>
      </w:r>
    </w:p>
    <w:p w14:paraId="22A12CE2" w14:textId="777777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ЛЕТАЛЬНЫЕ ИСХОДЫ</w:t>
      </w:r>
    </w:p>
    <w:p w14:paraId="1C43924D" w14:textId="4E609A3F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В большом рандомизированном пострегистрационном исследовании безопасности у пациентов с ревматоидным артритом (РА) в возрасте 50 лет и старше с как минимум одним фактором риска сердечно-сосудистых заболеваний для сравнения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 с блокаторами фактора некроза опухоли (ФНО) при приеме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10 мг два раза в сутки наблюдалась более высокая частота смерти по любой причине, включая внезапную сердечно-сосудистую смерть. </w:t>
      </w:r>
    </w:p>
    <w:p w14:paraId="6750504A" w14:textId="777777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ЗЛОКАЧЕСТВЕННЫЕ НОВООБРАЗОВАНИЯ</w:t>
      </w:r>
    </w:p>
    <w:p w14:paraId="0F250931" w14:textId="12F11309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lastRenderedPageBreak/>
        <w:t xml:space="preserve">У пациентов,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другие ингибиторы янус-киназы, применяемые для лечения воспалительных заболеваний, наблюдались случаи злокачественных новообразований, включая лимфому и солидные опухоли. У пациентов с РА наблюдалась более высокая частота злокачественных новообразований (за исключением </w:t>
      </w:r>
      <w:r w:rsidR="00C52009">
        <w:rPr>
          <w:b/>
          <w:sz w:val="22"/>
        </w:rPr>
        <w:t>немиеломного рака кожи -</w:t>
      </w:r>
      <w:r>
        <w:rPr>
          <w:b/>
          <w:sz w:val="22"/>
        </w:rPr>
        <w:t xml:space="preserve">НМРК),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сутки, по сравнению с блокаторами ФНО.</w:t>
      </w:r>
    </w:p>
    <w:p w14:paraId="1ADE5C45" w14:textId="00B7950B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 с РА лимфома и рак легкого наблюдались чаще у пациентов,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сутки, чем у пациентов, получавших блокаторы ФНО. Пациенты, которые </w:t>
      </w:r>
      <w:r w:rsidR="00AC23AE" w:rsidRPr="00AC23AE">
        <w:rPr>
          <w:b/>
          <w:sz w:val="22"/>
        </w:rPr>
        <w:t>курят в настоящее время или курили в прошлом</w:t>
      </w:r>
      <w:r>
        <w:rPr>
          <w:b/>
          <w:sz w:val="22"/>
        </w:rPr>
        <w:t>, подвергаются дополнительному повышенному риску.</w:t>
      </w:r>
    </w:p>
    <w:p w14:paraId="5F8670C5" w14:textId="1DDD712F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пациентов, которым была выполнена трансплантация почки, получавших одновременно лечение </w:t>
      </w:r>
      <w:r w:rsidR="009B63EC">
        <w:rPr>
          <w:b/>
          <w:sz w:val="22"/>
        </w:rPr>
        <w:t xml:space="preserve">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иммунодепрессантами, наблюдалась повышенная частота посттрансплантационных лимфопролиферативных заболеваний, связанных с инфекцией вирусом Эпштейна — Барр.</w:t>
      </w:r>
    </w:p>
    <w:p w14:paraId="43A12E20" w14:textId="6E22AC7D" w:rsidR="00A00725" w:rsidRPr="00F03FB0" w:rsidRDefault="00264D6C" w:rsidP="00174E56">
      <w:pPr>
        <w:pStyle w:val="11"/>
        <w:keepNext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СЕРЬЕЗНЫЕ СЕРДЕЧНО-СОСУДИСТЫЕ НЕЖЕЛАТЕЛЬНЫЕ ЯВЛЕНИЯ</w:t>
      </w:r>
      <w:r w:rsidR="00F03FB0" w:rsidRPr="006E64E3">
        <w:rPr>
          <w:b/>
          <w:sz w:val="22"/>
        </w:rPr>
        <w:t xml:space="preserve"> </w:t>
      </w:r>
      <w:r w:rsidR="00F03FB0" w:rsidRPr="00F03FB0">
        <w:rPr>
          <w:b/>
          <w:sz w:val="22"/>
        </w:rPr>
        <w:t>(СНССЯ)</w:t>
      </w:r>
    </w:p>
    <w:p w14:paraId="1973656F" w14:textId="33E06619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 с РА в возрасте 50 лет и старше с как минимум одним дополнительным фактором риска сердечно-сосудистых заболеваний, получавших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сутки, наблюдалась более высокая частота серьезных нежелательных сердечно-сосудистых явлений (СНССЯ) (определяемых как смерть по причине сердечно-сосудистого заболевания, инфаркт миокарда и инсульт), по сравнению с пациентами, получавшими блокаторы ФНО. Пациенты, которые </w:t>
      </w:r>
      <w:r w:rsidR="005C68F2" w:rsidRPr="00AC23AE">
        <w:rPr>
          <w:b/>
          <w:sz w:val="22"/>
        </w:rPr>
        <w:t>курят в настоящее время или курили в прошлом</w:t>
      </w:r>
      <w:r>
        <w:rPr>
          <w:b/>
          <w:sz w:val="22"/>
        </w:rPr>
        <w:t xml:space="preserve">, подвергаются дополнительному повышенному риску. У пациентов, перенесших инфаркт миокарда или инсульт, следует прекратить терапию 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>.</w:t>
      </w:r>
    </w:p>
    <w:p w14:paraId="7B0704B3" w14:textId="77777777" w:rsidR="00A00725" w:rsidRPr="00683AD3" w:rsidRDefault="00264D6C" w:rsidP="008D6612">
      <w:pPr>
        <w:pStyle w:val="11"/>
        <w:pageBreakBefore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lastRenderedPageBreak/>
        <w:t>ТРОМБОЗ</w:t>
      </w:r>
    </w:p>
    <w:p w14:paraId="574C3BC4" w14:textId="611E140C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другие ингибиторы янус-киназы, применяемые для лечения воспалительных заболеваний, наблюдались случаи развития тромбоза, включая тромбоэмболию легочной артерии, тромбоз глубоких вен и артериальный тромбоз. Многие из этих явлений были серьезными, а некоторые имели летальный исход. У пациентов с РА в возрасте 50 лет и старше с как минимум одним фактором риска сердечно-сосудистых заболеваний, получавших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</w:t>
      </w:r>
      <w:r w:rsidR="00D8296C">
        <w:rPr>
          <w:b/>
          <w:sz w:val="22"/>
        </w:rPr>
        <w:t xml:space="preserve"> или </w:t>
      </w:r>
      <w:r>
        <w:rPr>
          <w:b/>
          <w:sz w:val="22"/>
        </w:rPr>
        <w:t xml:space="preserve">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 </w:t>
      </w:r>
      <w:r w:rsidR="00D8296C">
        <w:rPr>
          <w:b/>
          <w:sz w:val="22"/>
        </w:rPr>
        <w:t xml:space="preserve">по сравнению с </w:t>
      </w:r>
      <w:r>
        <w:rPr>
          <w:b/>
          <w:sz w:val="22"/>
        </w:rPr>
        <w:t xml:space="preserve">блокаторами ФНО в большом продолжающемся пострегистрационном исследовании, наблюдалось увеличение частоты возникновения этих явлений. Следует избегать применения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у пациентов из группы риска. У пациентов с симптомами тромбоза следует прекратить терапию 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незамедлительно выполнить обследование для оценки состояния.</w:t>
      </w:r>
    </w:p>
    <w:p w14:paraId="229DA80B" w14:textId="777777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>Предупреждения и меры предосторожности были обновлены аналогичным образом.</w:t>
      </w:r>
    </w:p>
    <w:p w14:paraId="15447FAC" w14:textId="3ED90552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ПОКАЗАНИЯ И ПРИМЕНЕНИЕ</w:t>
      </w:r>
      <w:r>
        <w:rPr>
          <w:sz w:val="22"/>
        </w:rPr>
        <w:t xml:space="preserve"> для лечения РА, ПсА и паЮИА были пересмотрены, чтобы проинформировать, что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показан к применению следующим образом:</w:t>
      </w:r>
    </w:p>
    <w:p w14:paraId="7FE29C82" w14:textId="015A4C03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  <w:u w:val="single"/>
        </w:rPr>
        <w:t>Ревматоидный артрит:</w:t>
      </w:r>
      <w:r>
        <w:rPr>
          <w:sz w:val="22"/>
        </w:rPr>
        <w:t xml:space="preserve">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показан для лечения взрослых пациентов с активной стадией ревматоидного артрита умеренной или тяжелой степени </w:t>
      </w:r>
      <w:r>
        <w:rPr>
          <w:sz w:val="22"/>
          <w:u w:val="single"/>
        </w:rPr>
        <w:t>с недостаточным ответом на один или несколько блокаторов ФНО или их непереносимостью</w:t>
      </w:r>
      <w:r>
        <w:rPr>
          <w:sz w:val="22"/>
        </w:rPr>
        <w:t xml:space="preserve">. </w:t>
      </w:r>
      <w:r>
        <w:rPr>
          <w:i/>
          <w:sz w:val="22"/>
        </w:rPr>
        <w:t>Ограничения применения:</w:t>
      </w:r>
      <w:r>
        <w:rPr>
          <w:sz w:val="22"/>
        </w:rPr>
        <w:t xml:space="preserve"> применение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в комбинации с биологическими</w:t>
      </w:r>
      <w:r w:rsidR="00E11554">
        <w:rPr>
          <w:sz w:val="22"/>
        </w:rPr>
        <w:t xml:space="preserve"> </w:t>
      </w:r>
      <w:r w:rsidR="00E11554" w:rsidRPr="00E11554">
        <w:rPr>
          <w:sz w:val="22"/>
        </w:rPr>
        <w:t>базисными противоревматическими препаратами</w:t>
      </w:r>
      <w:r w:rsidR="00E11554">
        <w:rPr>
          <w:sz w:val="22"/>
        </w:rPr>
        <w:t xml:space="preserve"> (</w:t>
      </w:r>
      <w:r w:rsidR="00E11554" w:rsidRPr="00E11554">
        <w:rPr>
          <w:sz w:val="22"/>
        </w:rPr>
        <w:t>БПВП</w:t>
      </w:r>
      <w:r w:rsidR="00E11554">
        <w:rPr>
          <w:sz w:val="22"/>
        </w:rPr>
        <w:t>)</w:t>
      </w:r>
      <w:r>
        <w:rPr>
          <w:sz w:val="22"/>
        </w:rPr>
        <w:t xml:space="preserve"> или сильными иммунодепрессантами, такими как азатиоприн и циклоспорин, не рекомендуется.</w:t>
      </w:r>
    </w:p>
    <w:p w14:paraId="339B1BD1" w14:textId="7A3667EA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  <w:u w:val="single"/>
        </w:rPr>
        <w:t>Псориатический артрит:</w:t>
      </w:r>
      <w:r>
        <w:rPr>
          <w:sz w:val="22"/>
        </w:rPr>
        <w:t xml:space="preserve">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показан для лечения взрослых пациентов с активной стадией псиориатического артрита </w:t>
      </w:r>
      <w:r>
        <w:rPr>
          <w:sz w:val="22"/>
          <w:u w:val="single"/>
        </w:rPr>
        <w:t>с недостаточным ответом на один или несколько блокаторов ФНО или их непереносимостью.</w:t>
      </w:r>
      <w:r>
        <w:rPr>
          <w:sz w:val="22"/>
        </w:rPr>
        <w:t xml:space="preserve"> </w:t>
      </w:r>
      <w:r>
        <w:rPr>
          <w:i/>
          <w:sz w:val="22"/>
        </w:rPr>
        <w:t>Ограничения применения:</w:t>
      </w:r>
      <w:r>
        <w:rPr>
          <w:sz w:val="22"/>
        </w:rPr>
        <w:t xml:space="preserve"> применение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в комбинации с биологическими </w:t>
      </w:r>
      <w:r w:rsidR="00005B09" w:rsidRPr="00E11554">
        <w:rPr>
          <w:sz w:val="22"/>
        </w:rPr>
        <w:t>базисными противоревматическими препаратами</w:t>
      </w:r>
      <w:r w:rsidR="00005B09">
        <w:rPr>
          <w:sz w:val="22"/>
        </w:rPr>
        <w:t xml:space="preserve"> (</w:t>
      </w:r>
      <w:r w:rsidR="00005B09" w:rsidRPr="00E11554">
        <w:rPr>
          <w:sz w:val="22"/>
        </w:rPr>
        <w:t>БПВП</w:t>
      </w:r>
      <w:r w:rsidR="00005B09">
        <w:rPr>
          <w:sz w:val="22"/>
        </w:rPr>
        <w:t>)</w:t>
      </w:r>
      <w:r>
        <w:rPr>
          <w:sz w:val="22"/>
        </w:rPr>
        <w:t xml:space="preserve"> или сильными иммунодепрессантами, такими как азатиоприн и циклоспорин, не рекомендуется.</w:t>
      </w:r>
    </w:p>
    <w:p w14:paraId="6086ECAD" w14:textId="46C23E49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  <w:u w:val="single"/>
        </w:rPr>
        <w:t>Полиартикулярный ювенильный идиопатический артрит:</w:t>
      </w:r>
      <w:r>
        <w:rPr>
          <w:sz w:val="22"/>
        </w:rPr>
        <w:t xml:space="preserve">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показан для лечения активной стадии полиартикулярного ювенильного идиопатического артрита (паЮИА) у пациентов в возрасте 2 лет и старше с </w:t>
      </w:r>
      <w:r>
        <w:rPr>
          <w:sz w:val="22"/>
          <w:u w:val="single"/>
        </w:rPr>
        <w:t>недостаточным ответом на один или несколько блокаторов ФНО или его непереносимостью</w:t>
      </w:r>
      <w:r>
        <w:rPr>
          <w:sz w:val="22"/>
        </w:rPr>
        <w:t xml:space="preserve">. </w:t>
      </w:r>
      <w:r>
        <w:rPr>
          <w:i/>
          <w:sz w:val="22"/>
        </w:rPr>
        <w:t>Ограничения применения:</w:t>
      </w:r>
      <w:r>
        <w:rPr>
          <w:sz w:val="22"/>
        </w:rPr>
        <w:t xml:space="preserve"> применение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в комбинации с биологическими </w:t>
      </w:r>
      <w:r w:rsidR="00005B09" w:rsidRPr="00E11554">
        <w:rPr>
          <w:sz w:val="22"/>
        </w:rPr>
        <w:t xml:space="preserve">базисными противоревматическими </w:t>
      </w:r>
      <w:r w:rsidR="00005B09" w:rsidRPr="00E11554">
        <w:rPr>
          <w:sz w:val="22"/>
        </w:rPr>
        <w:lastRenderedPageBreak/>
        <w:t>препаратами</w:t>
      </w:r>
      <w:r w:rsidR="00005B09">
        <w:rPr>
          <w:sz w:val="22"/>
        </w:rPr>
        <w:t xml:space="preserve"> (</w:t>
      </w:r>
      <w:r w:rsidR="00005B09" w:rsidRPr="00E11554">
        <w:rPr>
          <w:sz w:val="22"/>
        </w:rPr>
        <w:t>БПВП</w:t>
      </w:r>
      <w:r w:rsidR="00005B09">
        <w:rPr>
          <w:sz w:val="22"/>
        </w:rPr>
        <w:t>)</w:t>
      </w:r>
      <w:r>
        <w:rPr>
          <w:sz w:val="22"/>
        </w:rPr>
        <w:t xml:space="preserve"> или мощными иммунодепрессантами, такими как азатиоприн и циклоспорин, не рекомендуется.</w:t>
      </w:r>
    </w:p>
    <w:p w14:paraId="33329B30" w14:textId="0827B3C5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2" w:name="bookmark2"/>
      <w:r w:rsidRPr="00BF7DD0">
        <w:rPr>
          <w:sz w:val="22"/>
          <w:u w:val="single"/>
        </w:rPr>
        <w:t xml:space="preserve">Действие </w:t>
      </w:r>
      <w:r w:rsidR="00195AB0" w:rsidRPr="00195AB0">
        <w:rPr>
          <w:sz w:val="22"/>
          <w:u w:val="single"/>
        </w:rPr>
        <w:t>медицинского работника, назначающего лекарственный препарат</w:t>
      </w:r>
      <w:bookmarkEnd w:id="2"/>
    </w:p>
    <w:p w14:paraId="37786152" w14:textId="2F5D1635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</w:rPr>
        <w:t xml:space="preserve">Перед началом или продолжением терапии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следует взвесить пользу и риски для конкретного пациента, особенно у пациентов, которые </w:t>
      </w:r>
      <w:r w:rsidR="00C05DA4" w:rsidRPr="00C05DA4">
        <w:rPr>
          <w:sz w:val="22"/>
        </w:rPr>
        <w:t>курят в настоящее время или курили в прошлом</w:t>
      </w:r>
      <w:r>
        <w:rPr>
          <w:sz w:val="22"/>
        </w:rPr>
        <w:t>, пациентов с другими факторами риска сердечно-сосудистых заболеваний, пациентов, у которых развилось злокачественное новообразование во время лечения, и пациентов с известным злокачественным новообразованием, кроме пациентов, успешно прошедших лечение по поводу немеланомного рака кожи.</w:t>
      </w:r>
    </w:p>
    <w:p w14:paraId="203A5B4F" w14:textId="5D253B0E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</w:rPr>
        <w:t xml:space="preserve">Использовать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качестве препарата резервного ряда для лечения РА, ПсА и паЮИА у пациентов с недостаточным ответом или непереносимостью одного или нескольких блокаторов ФНО. См. пересмотренные показания, как указано выше.</w:t>
      </w:r>
    </w:p>
    <w:p w14:paraId="79CDBB57" w14:textId="68A8120B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</w:rPr>
        <w:t xml:space="preserve">Консультировать пациентов по поводу пользы и риска применения препарата </w:t>
      </w:r>
      <w:r w:rsidR="005878A4">
        <w:rPr>
          <w:sz w:val="22"/>
        </w:rPr>
        <w:t>КСЕЛЬЖАНС</w:t>
      </w:r>
      <w:r>
        <w:rPr>
          <w:sz w:val="22"/>
        </w:rPr>
        <w:t>. Настоятельно рекомендовать пациентам ознакомится с листком-вкладышем для пациента, который они получают с каждым назначением препарата, и в котором объясняются риски для безопасности и предоставляется другая важная информация.</w:t>
      </w:r>
    </w:p>
    <w:p w14:paraId="6498EA0C" w14:textId="1814807E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</w:rPr>
        <w:t xml:space="preserve">Сообщите пациенту, что препараты </w:t>
      </w:r>
      <w:r w:rsidR="005878A4">
        <w:rPr>
          <w:sz w:val="22"/>
        </w:rPr>
        <w:t>КСЕЛЬЖАНС</w:t>
      </w:r>
      <w:r>
        <w:rPr>
          <w:sz w:val="22"/>
        </w:rPr>
        <w:t xml:space="preserve"> могут увеличивать риск возникновения некоторых видов злокачественных новообразований, и что у пациентов, принимающих </w:t>
      </w:r>
      <w:r w:rsidR="005878A4">
        <w:rPr>
          <w:sz w:val="22"/>
        </w:rPr>
        <w:t>КСЕЛЬЖАНС</w:t>
      </w:r>
      <w:r>
        <w:rPr>
          <w:sz w:val="22"/>
        </w:rPr>
        <w:t>, были зарегистрированы случаи лимфомы и других злокачественных новообразований. Инструктировать пациентов о необходимости сообщать своему лечащему врачу о любом типе злокачественного новообразования в анамнезе.</w:t>
      </w:r>
    </w:p>
    <w:p w14:paraId="5957A87F" w14:textId="26529A61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</w:rPr>
        <w:t xml:space="preserve">Информировать пациентов о том, что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может повышать риск возникновения СНССЯ, определяемого как инфаркт миокарда, инсульт и смерть по причине сердечно-сосудистого заболевания. Инструктировать всех пациентов, особенно пациентов, которые </w:t>
      </w:r>
      <w:r w:rsidR="00C05DA4" w:rsidRPr="00C05DA4">
        <w:rPr>
          <w:sz w:val="22"/>
        </w:rPr>
        <w:t>курят в настоящее время или курили в прошлом</w:t>
      </w:r>
      <w:r>
        <w:rPr>
          <w:sz w:val="22"/>
        </w:rPr>
        <w:t xml:space="preserve">, или пациентов с другими факторами риска сердечно-сосудистых заболеваний о необходимости предупреждения о развитии признаков и симптомов сердечно-сосудистых явлений. Пациентов следует информировать о симптомах серьезных сердечно-сосудистых явлений и шагах, которые следует предпринять в случае ее возникновения. У пациентов, перенесших инфаркт миокарда или инсульт, следует прекратить терапию препаратом </w:t>
      </w:r>
      <w:r w:rsidR="005878A4">
        <w:rPr>
          <w:sz w:val="22"/>
        </w:rPr>
        <w:t>КСЕЛЬЖАНС</w:t>
      </w:r>
      <w:r>
        <w:rPr>
          <w:sz w:val="22"/>
        </w:rPr>
        <w:t>.</w:t>
      </w:r>
    </w:p>
    <w:p w14:paraId="12E7FDAF" w14:textId="2230D8F5" w:rsidR="00A00725" w:rsidRPr="00683AD3" w:rsidRDefault="00264D6C" w:rsidP="00174E56">
      <w:pPr>
        <w:pStyle w:val="11"/>
        <w:widowControl/>
        <w:numPr>
          <w:ilvl w:val="0"/>
          <w:numId w:val="1"/>
        </w:numPr>
        <w:spacing w:after="120" w:line="298" w:lineRule="auto"/>
        <w:ind w:left="709" w:hanging="425"/>
        <w:rPr>
          <w:sz w:val="22"/>
          <w:szCs w:val="22"/>
        </w:rPr>
      </w:pPr>
      <w:r>
        <w:rPr>
          <w:sz w:val="22"/>
        </w:rPr>
        <w:t xml:space="preserve">Следует избегать применения препаратов </w:t>
      </w:r>
      <w:r w:rsidR="005878A4">
        <w:rPr>
          <w:sz w:val="22"/>
        </w:rPr>
        <w:t>КСЕЛЬЖАНС</w:t>
      </w:r>
      <w:r>
        <w:rPr>
          <w:sz w:val="22"/>
        </w:rPr>
        <w:t xml:space="preserve"> в форме раствора для перорального приема у пациентов с возможным повышенным риском развития </w:t>
      </w:r>
      <w:r>
        <w:rPr>
          <w:sz w:val="22"/>
        </w:rPr>
        <w:lastRenderedPageBreak/>
        <w:t xml:space="preserve">тромбоза. Прекратить терапию и незамедлительно обследовать пациентов с симптомами тромбоза. Рекомендовать пациентам прекратить применение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и немедленно позвонить своему врачу, если у пациента возникнут какие-либо симптомы тромбоза (внезапное затрудненное дыхание, боль в грудной клетке, усиливающаяся при дыхании, отек ног или рук, боль или болезненная чувствительность в ногах, покраснение или изменение пигментации кожи на пораженной ноге или руке).</w:t>
      </w:r>
    </w:p>
    <w:p w14:paraId="68FBEB7A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3" w:name="bookmark4"/>
      <w:r>
        <w:rPr>
          <w:sz w:val="22"/>
          <w:u w:val="single"/>
        </w:rPr>
        <w:t>Сообщение о нежелательных явлениях</w:t>
      </w:r>
      <w:bookmarkEnd w:id="3"/>
    </w:p>
    <w:p w14:paraId="23859D69" w14:textId="2B299C65" w:rsidR="00A00725" w:rsidRPr="00683AD3" w:rsidRDefault="00264D6C" w:rsidP="00174E56">
      <w:pPr>
        <w:pStyle w:val="11"/>
        <w:keepLines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Медицинским работникам и пациентам рекомендуется сообщать о нежелательных явлениях у пациентов, принимающих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, компании Pfizer по телефону </w:t>
      </w:r>
      <w:r w:rsidR="001D1041" w:rsidRPr="00AE0409">
        <w:rPr>
          <w:sz w:val="22"/>
        </w:rPr>
        <w:t>+7(727)2500916</w:t>
      </w:r>
      <w:r w:rsidRPr="00AE0409">
        <w:rPr>
          <w:sz w:val="22"/>
        </w:rPr>
        <w:t>.</w:t>
      </w:r>
      <w:r>
        <w:rPr>
          <w:sz w:val="22"/>
        </w:rPr>
        <w:t xml:space="preserve"> </w:t>
      </w:r>
    </w:p>
    <w:p w14:paraId="5A4B2BD8" w14:textId="6DC7DBBA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Данное письмо не является полным описанием пользы и риска применения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. Для получения дополнительной информации см. полную инструкцию по медицинскому применению препарата и листок-вкладыш. Они прилагаются и доступны по адресу: </w:t>
      </w:r>
      <w:r w:rsidR="00AC1B9D" w:rsidRPr="006E64E3">
        <w:rPr>
          <w:sz w:val="22"/>
        </w:rPr>
        <w:t xml:space="preserve"> </w:t>
      </w:r>
      <w:hyperlink r:id="rId8" w:history="1">
        <w:r w:rsidR="00AC1B9D" w:rsidRPr="00AE0409">
          <w:rPr>
            <w:rStyle w:val="ae"/>
          </w:rPr>
          <w:t>http://www.ndda.kz</w:t>
        </w:r>
      </w:hyperlink>
      <w:r w:rsidR="00AC1B9D" w:rsidRPr="006E64E3">
        <w:t xml:space="preserve"> </w:t>
      </w:r>
      <w:r>
        <w:rPr>
          <w:sz w:val="22"/>
        </w:rPr>
        <w:t xml:space="preserve">Безопасность пациентов имеет крайне важное значение для компании Pfizer, и компания постоянно контролирует безопасность своих лекарственных препаратов. Составители хотели бы проинформировать вас об этих обновлениях инструкции по медицинскому применению препарата и листка-вкладыша для пациента, чтобы вы могли рассмотреть их при консультировании ваших пациентов по применению препарата </w:t>
      </w:r>
      <w:r w:rsidR="005878A4">
        <w:rPr>
          <w:sz w:val="22"/>
        </w:rPr>
        <w:t>КСЕЛЬЖАНС</w:t>
      </w:r>
      <w:r>
        <w:rPr>
          <w:sz w:val="22"/>
        </w:rPr>
        <w:t>.</w:t>
      </w:r>
    </w:p>
    <w:p w14:paraId="10DDE5D9" w14:textId="1525C27B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 w:rsidRPr="00AE0409">
        <w:rPr>
          <w:sz w:val="22"/>
        </w:rPr>
        <w:t xml:space="preserve">Если у вас возникли какие-либо вопросы или вы хотите получить дополнительную информацию, позвоните по телефону: </w:t>
      </w:r>
      <w:r w:rsidR="00AE0409" w:rsidRPr="00AE0409">
        <w:rPr>
          <w:sz w:val="22"/>
        </w:rPr>
        <w:t>+7(727)2500916</w:t>
      </w:r>
      <w:r w:rsidRPr="00AE0409">
        <w:rPr>
          <w:sz w:val="22"/>
        </w:rPr>
        <w:t>.</w:t>
      </w:r>
    </w:p>
    <w:p w14:paraId="2BC76A49" w14:textId="777777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>С уважением,</w:t>
      </w:r>
    </w:p>
    <w:p w14:paraId="1C452BB1" w14:textId="383997C0" w:rsidR="00A00725" w:rsidRPr="00683AD3" w:rsidRDefault="00F43FED" w:rsidP="00174E56">
      <w:pPr>
        <w:widowControl/>
        <w:spacing w:before="480" w:after="240" w:line="29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[Подпись: неразборчиво]</w:t>
      </w:r>
    </w:p>
    <w:p w14:paraId="265514C8" w14:textId="77777777" w:rsidR="00A00725" w:rsidRPr="00683AD3" w:rsidRDefault="00264D6C" w:rsidP="00174E56">
      <w:pPr>
        <w:pStyle w:val="22"/>
        <w:keepNext/>
        <w:keepLines/>
        <w:widowControl/>
        <w:spacing w:before="240" w:after="0" w:line="298" w:lineRule="auto"/>
        <w:outlineLvl w:val="9"/>
        <w:rPr>
          <w:sz w:val="22"/>
          <w:szCs w:val="22"/>
        </w:rPr>
      </w:pPr>
      <w:bookmarkStart w:id="4" w:name="bookmark6"/>
      <w:r>
        <w:rPr>
          <w:sz w:val="22"/>
        </w:rPr>
        <w:t>Д-р Тамаш Конц (Tamas Koncz), магистр наук, доктор философии</w:t>
      </w:r>
      <w:bookmarkEnd w:id="4"/>
    </w:p>
    <w:p w14:paraId="290B00FE" w14:textId="77777777" w:rsidR="00A00725" w:rsidRPr="00683AD3" w:rsidRDefault="00264D6C" w:rsidP="00174E56">
      <w:pPr>
        <w:pStyle w:val="11"/>
        <w:widowControl/>
        <w:spacing w:after="240" w:line="298" w:lineRule="auto"/>
        <w:rPr>
          <w:sz w:val="22"/>
          <w:szCs w:val="22"/>
        </w:rPr>
      </w:pPr>
      <w:r>
        <w:rPr>
          <w:sz w:val="22"/>
        </w:rPr>
        <w:t>Главный врач-специалист</w:t>
      </w:r>
    </w:p>
    <w:p w14:paraId="2631DCED" w14:textId="77777777" w:rsidR="00A00725" w:rsidRPr="00683AD3" w:rsidRDefault="00264D6C" w:rsidP="00174E56">
      <w:pPr>
        <w:pStyle w:val="22"/>
        <w:keepNext/>
        <w:keepLines/>
        <w:widowControl/>
        <w:spacing w:before="240" w:after="0" w:line="298" w:lineRule="auto"/>
        <w:outlineLvl w:val="9"/>
        <w:rPr>
          <w:sz w:val="22"/>
          <w:szCs w:val="22"/>
        </w:rPr>
      </w:pPr>
      <w:bookmarkStart w:id="5" w:name="bookmark8"/>
      <w:r>
        <w:rPr>
          <w:color w:val="0000C9"/>
          <w:sz w:val="22"/>
        </w:rPr>
        <w:t>Отдел воспалительных заболеваний и иммунологии</w:t>
      </w:r>
      <w:bookmarkEnd w:id="5"/>
    </w:p>
    <w:p w14:paraId="61F542F7" w14:textId="77777777" w:rsidR="00A00725" w:rsidRPr="00683AD3" w:rsidRDefault="00264D6C" w:rsidP="00174E56">
      <w:pPr>
        <w:pStyle w:val="11"/>
        <w:widowControl/>
        <w:spacing w:after="240" w:line="298" w:lineRule="auto"/>
        <w:rPr>
          <w:sz w:val="22"/>
          <w:szCs w:val="22"/>
        </w:rPr>
      </w:pPr>
      <w:r>
        <w:rPr>
          <w:color w:val="0000C9"/>
          <w:sz w:val="22"/>
        </w:rPr>
        <w:t>Pfizer Inc.</w:t>
      </w:r>
    </w:p>
    <w:p w14:paraId="1916F9E4" w14:textId="77777777" w:rsidR="00A00725" w:rsidRPr="00683AD3" w:rsidRDefault="00264D6C" w:rsidP="00174E56">
      <w:pPr>
        <w:pStyle w:val="11"/>
        <w:widowControl/>
        <w:spacing w:before="960" w:after="240" w:line="298" w:lineRule="auto"/>
        <w:rPr>
          <w:sz w:val="22"/>
          <w:szCs w:val="22"/>
        </w:rPr>
      </w:pPr>
      <w:r>
        <w:rPr>
          <w:b/>
          <w:sz w:val="22"/>
        </w:rPr>
        <w:t>ПОКАЗАНИЯ И ПРИМЕНЕНИЕ</w:t>
      </w:r>
    </w:p>
    <w:p w14:paraId="217D527B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6" w:name="bookmark10"/>
      <w:r>
        <w:rPr>
          <w:sz w:val="22"/>
        </w:rPr>
        <w:lastRenderedPageBreak/>
        <w:t>Ревматоидный артрит</w:t>
      </w:r>
      <w:bookmarkEnd w:id="6"/>
    </w:p>
    <w:p w14:paraId="5FD20A6E" w14:textId="62B777CA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Препарат </w:t>
      </w:r>
      <w:r w:rsidR="005878A4" w:rsidRPr="007B646F">
        <w:rPr>
          <w:sz w:val="22"/>
        </w:rPr>
        <w:t>КСЕЛЬЖАНС</w:t>
      </w:r>
      <w:r w:rsidRPr="007B646F">
        <w:rPr>
          <w:sz w:val="22"/>
        </w:rPr>
        <w:t xml:space="preserve"> (тофацитиниб)</w:t>
      </w:r>
      <w:r>
        <w:rPr>
          <w:sz w:val="22"/>
        </w:rPr>
        <w:t xml:space="preserve"> показан для лечения взрослых пациентов с активной стадией ревматоидного артрита (РА) умеренной или тяжелой степени тяжести с недостаточным ответом на один или несколько блокаторов ФНО или их непереносимостью. Ограничения применения: применение препаратов </w:t>
      </w:r>
      <w:r w:rsidR="005878A4">
        <w:rPr>
          <w:sz w:val="22"/>
        </w:rPr>
        <w:t>КСЕЛЬЖАНС</w:t>
      </w:r>
      <w:r w:rsidRPr="007B646F">
        <w:rPr>
          <w:sz w:val="22"/>
        </w:rPr>
        <w:t xml:space="preserve"> в</w:t>
      </w:r>
      <w:r>
        <w:rPr>
          <w:sz w:val="22"/>
        </w:rPr>
        <w:t xml:space="preserve"> комбинации с биологическими </w:t>
      </w:r>
      <w:r w:rsidR="00B8657D" w:rsidRPr="00B8657D">
        <w:rPr>
          <w:sz w:val="22"/>
        </w:rPr>
        <w:t>базисными противоревматическими препаратами (БПВП)</w:t>
      </w:r>
      <w:r>
        <w:rPr>
          <w:sz w:val="22"/>
        </w:rPr>
        <w:t xml:space="preserve"> или мощными иммунодепрессантами, такими как азатиоприн и циклоспорин, не рекомендуется.</w:t>
      </w:r>
    </w:p>
    <w:p w14:paraId="17E6FE52" w14:textId="77777777" w:rsidR="00A00725" w:rsidRPr="00683AD3" w:rsidRDefault="00264D6C" w:rsidP="00174E56">
      <w:pPr>
        <w:pStyle w:val="22"/>
        <w:keepNext/>
        <w:keepLines/>
        <w:widowControl/>
        <w:spacing w:before="200" w:line="298" w:lineRule="auto"/>
        <w:outlineLvl w:val="9"/>
        <w:rPr>
          <w:sz w:val="22"/>
          <w:szCs w:val="22"/>
        </w:rPr>
      </w:pPr>
      <w:bookmarkStart w:id="7" w:name="bookmark12"/>
      <w:r>
        <w:rPr>
          <w:sz w:val="22"/>
        </w:rPr>
        <w:t>Псориатический артрит</w:t>
      </w:r>
      <w:bookmarkEnd w:id="7"/>
    </w:p>
    <w:p w14:paraId="13B759E5" w14:textId="55F2BEFB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sz w:val="22"/>
        </w:rPr>
        <w:t xml:space="preserve">Препарат </w:t>
      </w:r>
      <w:r w:rsidR="005878A4">
        <w:rPr>
          <w:sz w:val="22"/>
        </w:rPr>
        <w:t>КСЕЛЬЖАНС</w:t>
      </w:r>
      <w:r w:rsidRPr="007B646F">
        <w:rPr>
          <w:sz w:val="22"/>
        </w:rPr>
        <w:t xml:space="preserve"> (тофацитиниб)</w:t>
      </w:r>
      <w:r>
        <w:rPr>
          <w:sz w:val="22"/>
        </w:rPr>
        <w:t xml:space="preserve"> показан для лечения взрослых пациентов с активной стадией псиориатического артрита (ПсА) с недостаточным ответом на один или несколько блокаторов ФНО или их непереносимостью. Ограничения применения: применение препаратов </w:t>
      </w:r>
      <w:r w:rsidR="005878A4">
        <w:rPr>
          <w:sz w:val="22"/>
        </w:rPr>
        <w:t>КСЕЛЬЖАНС</w:t>
      </w:r>
      <w:r>
        <w:rPr>
          <w:sz w:val="22"/>
        </w:rPr>
        <w:t xml:space="preserve"> </w:t>
      </w:r>
      <w:r w:rsidRPr="007B646F">
        <w:rPr>
          <w:sz w:val="22"/>
        </w:rPr>
        <w:t xml:space="preserve">в комбинации с биологическими </w:t>
      </w:r>
      <w:r w:rsidR="00077992" w:rsidRPr="00E11554">
        <w:rPr>
          <w:sz w:val="22"/>
        </w:rPr>
        <w:t>базисными противоревматическими препаратами</w:t>
      </w:r>
      <w:r w:rsidR="00077992">
        <w:rPr>
          <w:sz w:val="22"/>
        </w:rPr>
        <w:t xml:space="preserve"> (</w:t>
      </w:r>
      <w:r w:rsidR="00077992" w:rsidRPr="00E11554">
        <w:rPr>
          <w:sz w:val="22"/>
        </w:rPr>
        <w:t>БПВП</w:t>
      </w:r>
      <w:r w:rsidR="00077992">
        <w:rPr>
          <w:sz w:val="22"/>
        </w:rPr>
        <w:t>)</w:t>
      </w:r>
      <w:r>
        <w:rPr>
          <w:sz w:val="22"/>
        </w:rPr>
        <w:t xml:space="preserve"> или сильными иммунодепрессантами, такими как азатиоприн и циклоспорин, не рекомендуется.</w:t>
      </w:r>
    </w:p>
    <w:p w14:paraId="382E7C3F" w14:textId="61CEF929" w:rsidR="00A00725" w:rsidRPr="00683AD3" w:rsidRDefault="00A00725" w:rsidP="00174E56">
      <w:pPr>
        <w:pStyle w:val="11"/>
        <w:widowControl/>
        <w:spacing w:before="200" w:line="298" w:lineRule="auto"/>
        <w:rPr>
          <w:sz w:val="22"/>
          <w:szCs w:val="22"/>
        </w:rPr>
      </w:pPr>
    </w:p>
    <w:p w14:paraId="6A61493D" w14:textId="77777777" w:rsidR="00A00725" w:rsidRPr="00683AD3" w:rsidRDefault="00264D6C" w:rsidP="00174E56">
      <w:pPr>
        <w:pStyle w:val="22"/>
        <w:keepNext/>
        <w:keepLines/>
        <w:widowControl/>
        <w:spacing w:before="200" w:line="298" w:lineRule="auto"/>
        <w:outlineLvl w:val="9"/>
        <w:rPr>
          <w:sz w:val="22"/>
          <w:szCs w:val="22"/>
        </w:rPr>
      </w:pPr>
      <w:bookmarkStart w:id="8" w:name="bookmark16"/>
      <w:r>
        <w:rPr>
          <w:sz w:val="22"/>
        </w:rPr>
        <w:t>Полиартикулярный вариант ювенильного идиопатического артрита</w:t>
      </w:r>
      <w:bookmarkEnd w:id="8"/>
    </w:p>
    <w:p w14:paraId="31438686" w14:textId="6BB984D2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sz w:val="22"/>
        </w:rPr>
        <w:t xml:space="preserve">Препарат </w:t>
      </w:r>
      <w:r w:rsidR="005878A4" w:rsidRPr="007B646F">
        <w:rPr>
          <w:sz w:val="22"/>
        </w:rPr>
        <w:t>КСЕЛЬЖАНС</w:t>
      </w:r>
      <w:r w:rsidRPr="007B646F">
        <w:rPr>
          <w:sz w:val="22"/>
        </w:rPr>
        <w:t xml:space="preserve"> (тофацитиниб)</w:t>
      </w:r>
      <w:r>
        <w:rPr>
          <w:sz w:val="22"/>
        </w:rPr>
        <w:t xml:space="preserve"> показан для лечения активной стадии полиартикулярного ювенильного идиопатического артрита (паЮИА) </w:t>
      </w:r>
      <w:r w:rsidRPr="007B646F">
        <w:rPr>
          <w:sz w:val="22"/>
        </w:rPr>
        <w:t>у пациентов в возрасте 2 лет и</w:t>
      </w:r>
      <w:r>
        <w:rPr>
          <w:sz w:val="22"/>
        </w:rPr>
        <w:t xml:space="preserve"> ста</w:t>
      </w:r>
      <w:r w:rsidR="00062B41">
        <w:rPr>
          <w:sz w:val="22"/>
        </w:rPr>
        <w:t>р</w:t>
      </w:r>
      <w:r>
        <w:rPr>
          <w:sz w:val="22"/>
        </w:rPr>
        <w:t xml:space="preserve">ше с недостаточным ответом на один или несколько блокаторов ФНО или его непереносимостью. Ограничения применения: применение препаратов </w:t>
      </w:r>
      <w:r w:rsidR="005878A4">
        <w:rPr>
          <w:sz w:val="22"/>
        </w:rPr>
        <w:t>КСЕЛЬЖАНС</w:t>
      </w:r>
      <w:r>
        <w:rPr>
          <w:sz w:val="22"/>
        </w:rPr>
        <w:t xml:space="preserve"> в комбинации </w:t>
      </w:r>
      <w:r w:rsidRPr="007B646F">
        <w:rPr>
          <w:sz w:val="22"/>
        </w:rPr>
        <w:t xml:space="preserve">с биологическими </w:t>
      </w:r>
      <w:bookmarkStart w:id="9" w:name="_Hlk95144458"/>
      <w:r w:rsidR="00077992" w:rsidRPr="00E11554">
        <w:rPr>
          <w:sz w:val="22"/>
        </w:rPr>
        <w:t>базисными противоревматическими препаратами</w:t>
      </w:r>
      <w:r w:rsidR="00077992">
        <w:rPr>
          <w:sz w:val="22"/>
        </w:rPr>
        <w:t xml:space="preserve"> (</w:t>
      </w:r>
      <w:r w:rsidR="00077992" w:rsidRPr="00E11554">
        <w:rPr>
          <w:sz w:val="22"/>
        </w:rPr>
        <w:t>БПВП</w:t>
      </w:r>
      <w:r w:rsidR="00077992">
        <w:rPr>
          <w:sz w:val="22"/>
        </w:rPr>
        <w:t>)</w:t>
      </w:r>
      <w:r>
        <w:rPr>
          <w:sz w:val="22"/>
        </w:rPr>
        <w:t xml:space="preserve"> </w:t>
      </w:r>
      <w:bookmarkEnd w:id="9"/>
      <w:r>
        <w:rPr>
          <w:sz w:val="22"/>
        </w:rPr>
        <w:t>или мощными иммунодепрессантами, такими как азатиоприн и циклоспорин, не рекомендуется.</w:t>
      </w:r>
    </w:p>
    <w:p w14:paraId="068C8299" w14:textId="77777777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>ВАЖНАЯ ИНФОРМАЦИЯ ПО БЕЗОПАСНОСТИ</w:t>
      </w:r>
    </w:p>
    <w:p w14:paraId="577AD8BC" w14:textId="77777777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>СЕРЬЕЗНЫЕ ИНФЕКЦИИ</w:t>
      </w:r>
    </w:p>
    <w:p w14:paraId="1ED98422" w14:textId="2EA3F1DB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 xml:space="preserve">Пациенты, получающие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>*, подвергаются повышенному риску развития серьезных инфекций, которые могут привести к госпитализации или летальному исходу. Большинство пациентов, у которых развились эти инфекции, одновременно получали иммунодепрессанты, такие как метотрексат или кортикостероиды.</w:t>
      </w:r>
    </w:p>
    <w:p w14:paraId="19AECC0B" w14:textId="14147A82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 xml:space="preserve">В случае возникновения серьезной инфекции прием </w:t>
      </w:r>
      <w:r w:rsidR="004B1690">
        <w:rPr>
          <w:b/>
          <w:sz w:val="22"/>
        </w:rPr>
        <w:t xml:space="preserve">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следует прекратить до установления контроля над инфекцией.</w:t>
      </w:r>
    </w:p>
    <w:p w14:paraId="61D6849B" w14:textId="77777777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lastRenderedPageBreak/>
        <w:t>Зарегистрированные инфекции включают:</w:t>
      </w:r>
    </w:p>
    <w:p w14:paraId="7DAA1A80" w14:textId="730D4202" w:rsidR="00A00725" w:rsidRPr="00683AD3" w:rsidRDefault="00264D6C" w:rsidP="00174E56">
      <w:pPr>
        <w:pStyle w:val="11"/>
        <w:widowControl/>
        <w:numPr>
          <w:ilvl w:val="0"/>
          <w:numId w:val="1"/>
        </w:numPr>
        <w:spacing w:before="200" w:line="298" w:lineRule="auto"/>
        <w:ind w:left="709" w:hanging="425"/>
        <w:rPr>
          <w:sz w:val="22"/>
          <w:szCs w:val="22"/>
        </w:rPr>
      </w:pPr>
      <w:r>
        <w:rPr>
          <w:b/>
          <w:sz w:val="22"/>
        </w:rPr>
        <w:t xml:space="preserve">туберкулез в активной стадии, который может быть в легочной или внелегочной форме. Пациентов следует проверять на наличие латентного туберкулеза перед назначением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во время терапии. Лечение латентной инфекции следует начинать до начала применения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>.</w:t>
      </w:r>
    </w:p>
    <w:p w14:paraId="01C7ABCC" w14:textId="77777777" w:rsidR="00A00725" w:rsidRPr="00683AD3" w:rsidRDefault="00264D6C" w:rsidP="00174E56">
      <w:pPr>
        <w:pStyle w:val="11"/>
        <w:widowControl/>
        <w:numPr>
          <w:ilvl w:val="0"/>
          <w:numId w:val="1"/>
        </w:numPr>
        <w:spacing w:before="200" w:line="298" w:lineRule="auto"/>
        <w:ind w:left="709" w:hanging="425"/>
        <w:rPr>
          <w:sz w:val="22"/>
          <w:szCs w:val="22"/>
        </w:rPr>
      </w:pPr>
      <w:r>
        <w:rPr>
          <w:b/>
          <w:sz w:val="22"/>
        </w:rPr>
        <w:t>Инвазивные микозы, включая криптококкоз и пневмоцистоз. Инвазивные микозы у пациентов чаще имеют диссеминированную форму, чем местную.</w:t>
      </w:r>
    </w:p>
    <w:p w14:paraId="641657FF" w14:textId="77777777" w:rsidR="00A00725" w:rsidRPr="00683AD3" w:rsidRDefault="00264D6C" w:rsidP="00174E56">
      <w:pPr>
        <w:pStyle w:val="11"/>
        <w:widowControl/>
        <w:numPr>
          <w:ilvl w:val="0"/>
          <w:numId w:val="1"/>
        </w:numPr>
        <w:spacing w:before="200" w:line="298" w:lineRule="auto"/>
        <w:ind w:left="709" w:hanging="425"/>
        <w:rPr>
          <w:sz w:val="22"/>
          <w:szCs w:val="22"/>
        </w:rPr>
      </w:pPr>
      <w:r>
        <w:rPr>
          <w:b/>
          <w:sz w:val="22"/>
        </w:rPr>
        <w:t>Бактериальные, вирусные, включая опоясывающий герпес, и другие инфекции, вызванные условно-патогенными микроорганизмами.</w:t>
      </w:r>
    </w:p>
    <w:p w14:paraId="483AB5E5" w14:textId="28FCE13D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К наиболее частым серьезным инфекциям, наблюдавшимся у пациентов, принимавших </w:t>
      </w:r>
      <w:r w:rsidR="005878A4">
        <w:rPr>
          <w:sz w:val="22"/>
        </w:rPr>
        <w:t>КСЕЛЬЖАНС</w:t>
      </w:r>
      <w:r>
        <w:rPr>
          <w:sz w:val="22"/>
        </w:rPr>
        <w:t xml:space="preserve">, относятся пневмония, панникулит, опоясывающий герпес, инфекция мочевыводящих путей, дивертикулит и аппендицит. Следует избегать применения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пациентам с активной тяжелой инфекцией, включая локализованные инфекции.</w:t>
      </w:r>
    </w:p>
    <w:p w14:paraId="123238C4" w14:textId="4CC5CDEB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Перед началом терапии 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у пациентов с хронической или рецидивирующей инфекцией,</w:t>
      </w:r>
      <w:r>
        <w:rPr>
          <w:sz w:val="22"/>
        </w:rPr>
        <w:t xml:space="preserve"> а также у пациентов, проживавших или путешествовавших в регионы эндемичного ТБ или микоза, </w:t>
      </w:r>
      <w:r>
        <w:rPr>
          <w:b/>
          <w:bCs/>
          <w:sz w:val="22"/>
        </w:rPr>
        <w:t>следует тщательно взвесить риски и пользу от лечения.</w:t>
      </w:r>
      <w:r>
        <w:rPr>
          <w:sz w:val="22"/>
        </w:rPr>
        <w:t xml:space="preserve"> Сообщалось о реактивации вируса, включая вирус герпеса, и реактивацию вируса гепатита B. Перед началом терапии следует проводить скрининг на вирусный гепатит в соответствии с клиническими рекомендациями.</w:t>
      </w:r>
    </w:p>
    <w:p w14:paraId="2BB86D9A" w14:textId="62F9D14B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Следует проводить тщательный мониторинг пациентов на предмет развития признаков и симптомов инфекции во время и после лечения 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>, включая возможное развитие туберкулеза у пациентов, у которых был отрицательный результат теста на латентную туберкулезную инфекцию до начала терапии.</w:t>
      </w:r>
    </w:p>
    <w:p w14:paraId="5D5181D6" w14:textId="777777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>Также рекомендуется с осторожностью применять этот препарат у пациентов с наличием хронического заболевания легких в анамнезе и у пациентов, у которых развилось интерстициальное заболевание легких, поскольку они могут быть более склонны к возникновению инфекций.</w:t>
      </w:r>
    </w:p>
    <w:p w14:paraId="1AEEE73B" w14:textId="77777777" w:rsidR="00A00725" w:rsidRPr="00683AD3" w:rsidRDefault="00264D6C" w:rsidP="00174E56">
      <w:pPr>
        <w:pStyle w:val="11"/>
        <w:keepNext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ЛЕТАЛЬНЫЕ ИСХОДЫ</w:t>
      </w:r>
    </w:p>
    <w:p w14:paraId="5A2978E8" w14:textId="375AD315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В большом рандомизированном пострегистрационном исследовании безопасности у пациентов с ревматоидным артритом (РА) в возрасте 50 лет и старше с как минимум одним фактором риска сердечно-сосудистых (СС) заболеваний </w:t>
      </w:r>
      <w:r w:rsidR="00DC18CE">
        <w:rPr>
          <w:b/>
          <w:sz w:val="22"/>
        </w:rPr>
        <w:t xml:space="preserve">при </w:t>
      </w:r>
      <w:r>
        <w:rPr>
          <w:b/>
          <w:sz w:val="22"/>
        </w:rPr>
        <w:lastRenderedPageBreak/>
        <w:t>сравнени</w:t>
      </w:r>
      <w:r w:rsidR="00DC18CE">
        <w:rPr>
          <w:b/>
          <w:sz w:val="22"/>
        </w:rPr>
        <w:t>и</w:t>
      </w:r>
      <w:r>
        <w:rPr>
          <w:b/>
          <w:sz w:val="22"/>
        </w:rPr>
        <w:t xml:space="preserve">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 с блокаторами фактора некроза опухоли (ФНО) </w:t>
      </w:r>
      <w:r w:rsidR="00DC18CE">
        <w:rPr>
          <w:b/>
          <w:sz w:val="22"/>
        </w:rPr>
        <w:t xml:space="preserve">наблюдалась более высокая частота смерти по любой причине </w:t>
      </w:r>
      <w:r>
        <w:rPr>
          <w:b/>
          <w:sz w:val="22"/>
        </w:rPr>
        <w:t xml:space="preserve">при приеме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10 мг два раза в сутки, включая внезапную СС смерть. </w:t>
      </w:r>
      <w:r>
        <w:rPr>
          <w:sz w:val="22"/>
        </w:rPr>
        <w:t xml:space="preserve">Для лечения ЯК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следует применять в самой низкой эффективной дозе и в течение минимально возможного периода времени, необходимого для достижения/поддержания терапевтического ответа.</w:t>
      </w:r>
    </w:p>
    <w:p w14:paraId="04103826" w14:textId="77777777" w:rsidR="00A00725" w:rsidRPr="00683AD3" w:rsidRDefault="00264D6C" w:rsidP="00174E56">
      <w:pPr>
        <w:pStyle w:val="11"/>
        <w:keepNext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ЗЛОКАЧЕСТВЕННЫЕ НОВООБРАЗОВАНИЯ</w:t>
      </w:r>
    </w:p>
    <w:p w14:paraId="1C121944" w14:textId="46A874CA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другие ингибиторы янус-киназы, применяемые для лечения воспалительных заболеваний, наблюдались случаи злокачественных новообразований, включая лимфому и солидные опухоли. У пациентов с РА наблюдалась более высокая частота злокачественных новообразований (за исключением НМРК),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сутки, по сравнению с блокаторами ФНО.</w:t>
      </w:r>
    </w:p>
    <w:p w14:paraId="7D5FF7AD" w14:textId="41E78F5E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 с РА лимфома и рак легкого наблюдались чаще у пациентов,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сутки, чем у пациентов, получавших блокаторы ФНО. Пациенты, которые </w:t>
      </w:r>
      <w:bookmarkStart w:id="10" w:name="_Hlk95144423"/>
      <w:r w:rsidR="005C68F2" w:rsidRPr="00AC23AE">
        <w:rPr>
          <w:b/>
          <w:sz w:val="22"/>
        </w:rPr>
        <w:t>курят в настоящее время или курили в прошлом</w:t>
      </w:r>
      <w:bookmarkEnd w:id="10"/>
      <w:r>
        <w:rPr>
          <w:b/>
          <w:sz w:val="22"/>
        </w:rPr>
        <w:t>, подвергаются дополнительному повышенному риску.</w:t>
      </w:r>
    </w:p>
    <w:p w14:paraId="65ADADF8" w14:textId="3CDF022D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пациентов, которым была выполнена трансплантация почки, получавших одновременно лечение </w:t>
      </w:r>
      <w:r w:rsidR="0042492E">
        <w:rPr>
          <w:b/>
          <w:sz w:val="22"/>
        </w:rPr>
        <w:t xml:space="preserve">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иммунодепрессантами, наблюдалась повышенная частота посттрансплантационных лимфопролиферативных заболеваний, связанных с инфекцией вирусом Эпштейна — Барр.</w:t>
      </w:r>
    </w:p>
    <w:p w14:paraId="52F7E254" w14:textId="1B8A400D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sz w:val="22"/>
        </w:rPr>
        <w:t xml:space="preserve">Следует учитывать пользу и риски для конкретного пациента перед началом или продолжением терапии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, особенно у пациентов с известной злокачественной опухолью (кроме пациентов, успешно прошедших лечение по поводу НМРК), пациентов, у которых развилось злокачественное новообразование во время лечения, и пациентов, </w:t>
      </w:r>
      <w:r w:rsidR="00B25BA5" w:rsidRPr="00B25BA5">
        <w:rPr>
          <w:sz w:val="22"/>
        </w:rPr>
        <w:t>курят в настоящее время или курили в прошло</w:t>
      </w:r>
      <w:r w:rsidR="00B25BA5" w:rsidRPr="007B646F">
        <w:rPr>
          <w:sz w:val="22"/>
        </w:rPr>
        <w:t>м</w:t>
      </w:r>
      <w:r w:rsidRPr="007B646F">
        <w:rPr>
          <w:sz w:val="22"/>
        </w:rPr>
        <w:t>.</w:t>
      </w:r>
      <w:r>
        <w:rPr>
          <w:sz w:val="22"/>
        </w:rPr>
        <w:t xml:space="preserve">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10 мг два раза в сутки не рекомендуется для лечения РА или ПсА.</w:t>
      </w:r>
    </w:p>
    <w:p w14:paraId="0AB28530" w14:textId="21C800BA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sz w:val="22"/>
        </w:rPr>
        <w:t xml:space="preserve">Другие злокачественные новообразования наблюдались в клинических исследованиях или в условиях пострегистрационного применения препарата, включая, помимо прочего, рак легкого, рак молочной железы, меланому, рак предстательной железы и рак поджелудочной железы. У пациентов, получавших лечение </w:t>
      </w:r>
      <w:r w:rsidR="00FD1A58">
        <w:rPr>
          <w:sz w:val="22"/>
        </w:rPr>
        <w:t xml:space="preserve">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, были зарегистрированы случаи НМРК. У пациентов с повышенным риском возникновения рака кожи рекомендуется периодически проводить обследование кожи. В популяции </w:t>
      </w:r>
      <w:r>
        <w:rPr>
          <w:sz w:val="22"/>
        </w:rPr>
        <w:lastRenderedPageBreak/>
        <w:t xml:space="preserve">пациентов с ЯК терапия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10 мг два раза в сутки была ассоциирована с более высоким риском развития НМРК.</w:t>
      </w:r>
    </w:p>
    <w:p w14:paraId="7DAC3FA7" w14:textId="5A7C7A60" w:rsidR="00A00725" w:rsidRPr="00683AD3" w:rsidRDefault="00A475DE" w:rsidP="00174E56">
      <w:pPr>
        <w:pStyle w:val="11"/>
        <w:keepNext/>
        <w:widowControl/>
        <w:spacing w:before="240" w:after="240" w:line="298" w:lineRule="auto"/>
        <w:rPr>
          <w:sz w:val="22"/>
          <w:szCs w:val="22"/>
        </w:rPr>
      </w:pPr>
      <w:r w:rsidRPr="00A475DE">
        <w:rPr>
          <w:b/>
          <w:sz w:val="22"/>
        </w:rPr>
        <w:t>СЕРЬЕЗНЫЕ</w:t>
      </w:r>
      <w:r w:rsidRPr="00A475DE" w:rsidDel="00A475DE">
        <w:rPr>
          <w:b/>
          <w:sz w:val="22"/>
        </w:rPr>
        <w:t xml:space="preserve"> </w:t>
      </w:r>
      <w:r w:rsidR="00264D6C">
        <w:rPr>
          <w:b/>
          <w:sz w:val="22"/>
        </w:rPr>
        <w:t>СЕРДЕЧНО-СОСУДИСТЫЕ НЕЖЕЛАТЕЛЬНЫЕ ЯВЛЕНИЯ (СНССЯ)</w:t>
      </w:r>
    </w:p>
    <w:p w14:paraId="71306962" w14:textId="778C0B19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 с РА в возрасте 50 лет и старше с как минимум одним СС фактором риска, получавших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 или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сутки, наблюдалась более высокая частота СНССЯ (определяемых как смерть по причине сердечно-сосудистого заболевания, инфаркт миокарда и инсульт), по сравнению с пациентами, получавшими блокаторы ФНО. Пациенты, которые </w:t>
      </w:r>
      <w:r w:rsidR="005C68F2" w:rsidRPr="00AC23AE">
        <w:rPr>
          <w:b/>
          <w:sz w:val="22"/>
        </w:rPr>
        <w:t>курят в настоящее время или курили в прошлом</w:t>
      </w:r>
      <w:r>
        <w:rPr>
          <w:b/>
          <w:sz w:val="22"/>
        </w:rPr>
        <w:t xml:space="preserve">, подвергаются дополнительному повышенному риску. У пациентов, перенесших инфаркт миокарда или инсульт, прием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следует прекратить.</w:t>
      </w:r>
    </w:p>
    <w:p w14:paraId="6947D387" w14:textId="010A0646" w:rsidR="00A00725" w:rsidRPr="00683AD3" w:rsidRDefault="00264D6C" w:rsidP="00174E56">
      <w:pPr>
        <w:pStyle w:val="11"/>
        <w:widowControl/>
        <w:spacing w:before="200" w:line="298" w:lineRule="auto"/>
        <w:rPr>
          <w:sz w:val="22"/>
          <w:szCs w:val="22"/>
        </w:rPr>
      </w:pPr>
      <w:r>
        <w:rPr>
          <w:sz w:val="22"/>
        </w:rPr>
        <w:t xml:space="preserve">Перед началом или продолжением терапии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следует взвесить пользу и риски для конкретного пациента, особенно у пациентов, которые </w:t>
      </w:r>
      <w:r w:rsidR="005930EF" w:rsidRPr="005930EF">
        <w:rPr>
          <w:sz w:val="22"/>
        </w:rPr>
        <w:t>курят в настоящее время или курили в прошлом</w:t>
      </w:r>
      <w:r>
        <w:rPr>
          <w:sz w:val="22"/>
        </w:rPr>
        <w:t xml:space="preserve">, а также у пациентов с другими СС факторами риска. Информировать пациентов о симптомах серьезных СС явлений. </w:t>
      </w:r>
    </w:p>
    <w:p w14:paraId="038AD6DC" w14:textId="77777777" w:rsidR="00A00725" w:rsidRPr="00683AD3" w:rsidRDefault="00264D6C" w:rsidP="00174E56">
      <w:pPr>
        <w:pStyle w:val="11"/>
        <w:keepNext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>ТРОМБОЗ</w:t>
      </w:r>
    </w:p>
    <w:p w14:paraId="351AD3F5" w14:textId="1B74B599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У пациентов, получавших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другие ингибиторы янус-киназы, применяемые для лечения воспалительных заболеваний, наблюдались случаи развития тромбоза, включая тромбоэмболию легочной артерии, тромбоз глубоких вен и артериальный тромбоз. Многие из этих явлений были серьезными, а некоторые имели летальный исход. У пациентов с РА в возрасте 50 лет и старше с как минимум одним фактором риска СС заболеваний, получавших препарат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5 мг два раза в сутки, по сравнению с 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в дозе 10 мг два раза в сутки или блокаторами ФНО в большом продолжающемся пострегистрационном исследовании, наблюдалось увеличение частоты возникновения этих явлений. Следует избегать применения препарата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у пациентов, подверженным риску. Прекратить терапию препаратом </w:t>
      </w:r>
      <w:r w:rsidR="005878A4">
        <w:rPr>
          <w:b/>
          <w:sz w:val="22"/>
        </w:rPr>
        <w:t>КСЕЛЬЖАНС</w:t>
      </w:r>
      <w:r>
        <w:rPr>
          <w:b/>
          <w:sz w:val="22"/>
        </w:rPr>
        <w:t xml:space="preserve"> и незамедлительно обследовать пациентов с симптомами тромбоза.</w:t>
      </w:r>
    </w:p>
    <w:p w14:paraId="61424003" w14:textId="2ED288AB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10 мг два раза в сутки не рекомендуется для лечения РА или ПсА. В долгосрочном продленном исследовании ЯК было зарегистрировано пять случаев тромбоэмболии легочной артерии у пациентов, принимавших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10 мг два раза в сутки, включая один летальный исход у пациента с распространенным злокачественным новообразованием. Для лечения ЯК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следует применять в самой низкой эффективной дозе и в течение </w:t>
      </w:r>
      <w:r>
        <w:rPr>
          <w:sz w:val="22"/>
        </w:rPr>
        <w:lastRenderedPageBreak/>
        <w:t>минимально возможного периода времени, необходимого для достижения/поддержания терапевтического ответа.</w:t>
      </w:r>
    </w:p>
    <w:p w14:paraId="459E8B6E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1" w:name="bookmark18"/>
      <w:r>
        <w:rPr>
          <w:sz w:val="22"/>
        </w:rPr>
        <w:t>ПЕРФОРАЦИИ ЖЕЛУДОЧНО-КИШЕЧНОГО ТРАКТА</w:t>
      </w:r>
      <w:bookmarkEnd w:id="11"/>
    </w:p>
    <w:p w14:paraId="6E57DAB7" w14:textId="34A6569A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В клинических исследованиях были зарегистрированы случаи перфорации желудочно-кишечного тракта, хотя роль ингибирования JAK в развитии этих явлений неизвестна. В этих исследованиях многие пациенты с ревматоидным артритом получали фоновую терапию нестероидными противовоспалительными средствами (НПВС). Не было заметной разницы в частоте возникновения случаев перфорации желудочно-кишечного тракта между группами, получавшими плацебо и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, в клинических исследованиях у пациентов с ЯК, при этом многие из них получали фоновую терапию кортикостероидами.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следует с осторожностью применять у пациентов с повышенным риском прободения желудочно-кишечного тракта (например, у пациентов с дивертикулитом в анамнезе или пациентов, принимающих НПВС).</w:t>
      </w:r>
    </w:p>
    <w:p w14:paraId="3B6EA3EE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2" w:name="bookmark20"/>
      <w:r>
        <w:rPr>
          <w:sz w:val="22"/>
        </w:rPr>
        <w:t>ГИПЕРЧУВСТВИТЕЛЬНОСТЬ</w:t>
      </w:r>
      <w:bookmarkEnd w:id="12"/>
    </w:p>
    <w:p w14:paraId="1E93A845" w14:textId="19E8166B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Ангионевротический отек и крапивница, которые могут отражать гиперчувствительность к препарату, наблюдались у пациентов, получавших препарат </w:t>
      </w:r>
      <w:r w:rsidR="005878A4">
        <w:rPr>
          <w:sz w:val="22"/>
        </w:rPr>
        <w:t>КСЕЛЬЖАНС</w:t>
      </w:r>
      <w:r>
        <w:rPr>
          <w:sz w:val="22"/>
        </w:rPr>
        <w:t>; при этом некоторые явления были серьезными. Если возникает серьезная реакция гиперчувствительности, следует незамедлительно прекратить прием тофацитиниба, выполняя при этом оценку потенциальной причины или причин реакции.</w:t>
      </w:r>
    </w:p>
    <w:p w14:paraId="21AB2B7F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3" w:name="bookmark22"/>
      <w:r>
        <w:rPr>
          <w:sz w:val="22"/>
        </w:rPr>
        <w:t>ОТКЛОНЕНИЯ ОТ НОРМЫ РЕЗУЛЬТАТОВ ЛАБОРАТОРНЫХ АНАЛИЗОВ</w:t>
      </w:r>
      <w:bookmarkEnd w:id="13"/>
    </w:p>
    <w:p w14:paraId="3EB0651A" w14:textId="7325D21C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Отклонения от нормы количества лимфоцитов: </w:t>
      </w:r>
      <w:r>
        <w:rPr>
          <w:sz w:val="22"/>
        </w:rPr>
        <w:t xml:space="preserve">в первый месяц применения терапия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ассоциировалась с начальным лимфоцитозом с последующим постепенным уменьшением среднего количества лимфоцитов. Следует избегать применения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у пациентов с количеством лимфоцитов меньше 500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>. Если подтвержденное абсолютное количество лимфоцитов у пациента составляет менее 500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, 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не рекомендуется. Риск развития инфекции может повышаться с увеличением степени лимфопении, и при оценке индивидуального риска развития инфекции у пациента следует уделять внимание количеству лимфоцитов. Количество лимфоцитов определяют на исходном уровне и затем через каждые 3 месяца.</w:t>
      </w:r>
    </w:p>
    <w:p w14:paraId="1023789B" w14:textId="74805899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Нейтропения: </w:t>
      </w:r>
      <w:r>
        <w:rPr>
          <w:sz w:val="22"/>
        </w:rPr>
        <w:t xml:space="preserve">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сопровождалось повышением частоты возникновения нейтропении (меньше 2000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), по сравнению с плацебо. Следует избегать начала применения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у пациентов с подтвержденным АКН менее 1000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>. У пациентов со стойким снижением АКН до уровня 500–1000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следует приостановить терапию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до тех пор, </w:t>
      </w:r>
      <w:r>
        <w:rPr>
          <w:sz w:val="22"/>
        </w:rPr>
        <w:lastRenderedPageBreak/>
        <w:t>пока АКН не достигнет значения большего или равного 1000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>. У пациентов с АКН менее 500 клеток/мм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не рекомендуется. Количество нейтрофилов определяют на исходном уровне и после 4–8 недель лечения, а затем каждые 3 месяца.</w:t>
      </w:r>
    </w:p>
    <w:p w14:paraId="3BD683D6" w14:textId="452EA24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Анемия: </w:t>
      </w:r>
      <w:r>
        <w:rPr>
          <w:sz w:val="22"/>
        </w:rPr>
        <w:t xml:space="preserve">следует избегать применения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у пациентов с уровнем гемоглобина менее 9 г/дл. У пациентов, уровень гемоглобина у которых упал ниже 8 г/дл, или у которых падение уровня гемоглобина за период лечения превысило 2 г/дл, 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следует приостановить. Уровень гемоглобина измеряют на исходном уровне, спустя 4–8 недель лечения и затем каждые 3 месяца.</w:t>
      </w:r>
    </w:p>
    <w:p w14:paraId="2F8C850E" w14:textId="5DD1D4C5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Повышение уровня печеночных ферментов: </w:t>
      </w:r>
      <w:r>
        <w:rPr>
          <w:sz w:val="22"/>
        </w:rPr>
        <w:t xml:space="preserve">применение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сопровождалось более частым повышением уровней печеночных ферментов по сравнению с плацебо. Большинство из этих отклонений от нормы наблюдались в исследованиях с фоновой терапией </w:t>
      </w:r>
      <w:r w:rsidR="00822F2D" w:rsidRPr="00822F2D">
        <w:rPr>
          <w:sz w:val="22"/>
        </w:rPr>
        <w:t>БПВП</w:t>
      </w:r>
      <w:r>
        <w:rPr>
          <w:sz w:val="22"/>
        </w:rPr>
        <w:t xml:space="preserve"> (в основном метотрексатом). Если подозревается лекарственное поражение печени, лечение </w:t>
      </w:r>
      <w:r w:rsidR="005878A4">
        <w:rPr>
          <w:sz w:val="22"/>
        </w:rPr>
        <w:t>КСЕЛЬЖАНС</w:t>
      </w:r>
      <w:r>
        <w:rPr>
          <w:sz w:val="22"/>
        </w:rPr>
        <w:t>ОМ следует приостановить до исключения этого диагноза. Для выявления потенциальных случаев лекарственного повреждения печени рекомендуется выполнять рутинный мониторинг биохимических показателей функции печени и незамедлительно устанавливать причины повышения уровней печеночных ферментов.</w:t>
      </w:r>
    </w:p>
    <w:p w14:paraId="3CD93B89" w14:textId="248766C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b/>
          <w:sz w:val="22"/>
        </w:rPr>
        <w:t xml:space="preserve">Повышение уровней липидов: </w:t>
      </w:r>
      <w:r>
        <w:rPr>
          <w:sz w:val="22"/>
        </w:rPr>
        <w:t xml:space="preserve">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 сопровождалось дозозависимым повышением показателей содержания липидов, включая уровень общего холестерина, холестерина липопротеинов низкой плотности (ЛПНП) и холестерина липопротеинов высокой плотности (ЛПВП). Максимальное влияние на эти показатели обычно наблюдалось через 6 недель. Клинически значимых изменений в соотношении холестерина ЛПНП/ЛПВП не отмечалось. Лечение пациентов с гиперлипидемией следует проводить в соответствии с клиническими рекомендациями. Оценку липидных показателей следует проводить приблизительно через 4–8 недель после начала терапии препаратом </w:t>
      </w:r>
      <w:r w:rsidR="005878A4">
        <w:rPr>
          <w:sz w:val="22"/>
        </w:rPr>
        <w:t>КСЕЛЬЖАНС</w:t>
      </w:r>
      <w:r>
        <w:rPr>
          <w:sz w:val="22"/>
        </w:rPr>
        <w:t>.</w:t>
      </w:r>
    </w:p>
    <w:p w14:paraId="74CDBB40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4" w:name="bookmark24"/>
      <w:r>
        <w:rPr>
          <w:sz w:val="22"/>
        </w:rPr>
        <w:t>ВАКЦИНАЦИЯ</w:t>
      </w:r>
      <w:bookmarkEnd w:id="14"/>
    </w:p>
    <w:p w14:paraId="13958734" w14:textId="06FE8352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Следует избегать введения живых вакцин во время лечения препаратом </w:t>
      </w:r>
      <w:r w:rsidR="005878A4">
        <w:rPr>
          <w:sz w:val="22"/>
        </w:rPr>
        <w:t>КСЕЛЬЖАНС</w:t>
      </w:r>
      <w:r>
        <w:rPr>
          <w:sz w:val="22"/>
        </w:rPr>
        <w:t xml:space="preserve">. Интервал между вакцинацией живыми вакцинами и началом терапии тофацитинибом должен отвечать требованиям действующих руководств по вакцинации в отношении иммунодепрессантных средств. Ревакцинацию следует проводить согласно действующим рекомендациям по иммунизации до начала лечения препаратом </w:t>
      </w:r>
      <w:r w:rsidR="005878A4">
        <w:rPr>
          <w:sz w:val="22"/>
        </w:rPr>
        <w:t>КСЕЛЬЖАНС</w:t>
      </w:r>
      <w:r>
        <w:rPr>
          <w:sz w:val="22"/>
        </w:rPr>
        <w:t>.</w:t>
      </w:r>
    </w:p>
    <w:p w14:paraId="7DCDC4BA" w14:textId="2F7FA63C" w:rsidR="00A00725" w:rsidRPr="00683AD3" w:rsidRDefault="00A00725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</w:p>
    <w:p w14:paraId="5A0107C8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5" w:name="bookmark28"/>
      <w:r>
        <w:rPr>
          <w:sz w:val="22"/>
        </w:rPr>
        <w:lastRenderedPageBreak/>
        <w:t>НАРУШЕНИЕ ФУНКЦИИ ПЕЧЕНИ ИЛИ ПОЧЕК</w:t>
      </w:r>
      <w:bookmarkEnd w:id="15"/>
    </w:p>
    <w:p w14:paraId="7494795E" w14:textId="28FAA3C8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>Применение</w:t>
      </w:r>
      <w:r w:rsidR="00D37925">
        <w:rPr>
          <w:sz w:val="22"/>
        </w:rPr>
        <w:t xml:space="preserve"> препарата</w:t>
      </w:r>
      <w:r>
        <w:rPr>
          <w:sz w:val="22"/>
        </w:rPr>
        <w:t xml:space="preserve"> </w:t>
      </w:r>
      <w:r w:rsidR="005878A4">
        <w:rPr>
          <w:sz w:val="22"/>
        </w:rPr>
        <w:t>КСЕЛЬЖАНС</w:t>
      </w:r>
      <w:r>
        <w:rPr>
          <w:sz w:val="22"/>
        </w:rPr>
        <w:t xml:space="preserve"> у пациентов с тяжелой печеночной недостаточностью не рекомендуется. Для пациентов с умеренным нарушением функции печени или умеренным или тяжелым нарушением функции почек, принимающих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5 мг два раза в сутки следует снизить дозу до 5 мг один раз в сутки. Для пациентов с ЯК и умеренным нарушением функции печени или умеренным или тяжелым нарушением функции почек, принимающих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10 мг два раза в сутки, следует снизить дозу до 5 мг два раза в сутки. </w:t>
      </w:r>
    </w:p>
    <w:p w14:paraId="7F00F2B2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6" w:name="bookmark30"/>
      <w:r>
        <w:rPr>
          <w:sz w:val="22"/>
        </w:rPr>
        <w:t>НЕЖЕЛАТЕЛЬНЫЕ РЕАКЦИИ</w:t>
      </w:r>
      <w:bookmarkEnd w:id="16"/>
    </w:p>
    <w:p w14:paraId="626B9810" w14:textId="326A03F4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Наиболее частыми неблагоприятными реакциями были серьезные инфекции. Наиболее часто регистрируемыми нежелательными реакциями в течение первых 3 месяцев в контролируемых клинических исследованиях у пациентов с РА, получавших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дозе 5 мг два раза в сутки и плацебо соответственно (возникшими у 2 % или более пациентов, получавших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с </w:t>
      </w:r>
      <w:r w:rsidR="00822F2D" w:rsidRPr="00822F2D">
        <w:rPr>
          <w:sz w:val="22"/>
        </w:rPr>
        <w:t>БПВП</w:t>
      </w:r>
      <w:r>
        <w:rPr>
          <w:sz w:val="22"/>
        </w:rPr>
        <w:t xml:space="preserve"> или без таковых), были инфекция верхних дыхательных путей, назофарингит, диарея, головная боль и артериальная гипертензия. Профиль безопасности, наблюдаемый у пациентов с активной стадией ПсА, получавших лечение препаратом </w:t>
      </w:r>
      <w:r w:rsidR="005878A4">
        <w:rPr>
          <w:sz w:val="22"/>
        </w:rPr>
        <w:t>КСЕЛЬЖАНС</w:t>
      </w:r>
      <w:r>
        <w:rPr>
          <w:sz w:val="22"/>
        </w:rPr>
        <w:t>, согласуется с профилем безопасности, установленным у пациентов с РА.</w:t>
      </w:r>
    </w:p>
    <w:p w14:paraId="54B59253" w14:textId="222D0677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Нежелательными реакциями, зарегистрированными у ≥ 5 % пациентов, получавших препарат </w:t>
      </w:r>
      <w:r w:rsidR="005878A4">
        <w:rPr>
          <w:sz w:val="22"/>
        </w:rPr>
        <w:t>КСЕЛЬЖАНС</w:t>
      </w:r>
      <w:r>
        <w:rPr>
          <w:sz w:val="22"/>
        </w:rPr>
        <w:t xml:space="preserve"> в дозах 5 мг или 10 мг два раза в сутки, и возникавшими с частотой на ≥ 1 % выше, чем у пациентов, получавших плацебо, в клинических исследованиях индукционной или поддерживающей терапии при ЯК, были назофарингит, повышенный уровень холестерина, головная боль, инфекции верхних дыхательных путей, повышение уровня креатинфосфокиназы в крови, сыпь, диарея и опоясывающий герпес.</w:t>
      </w:r>
    </w:p>
    <w:p w14:paraId="54BB654D" w14:textId="77777777" w:rsidR="00A00725" w:rsidRPr="00683AD3" w:rsidRDefault="00264D6C" w:rsidP="00174E56">
      <w:pPr>
        <w:pStyle w:val="22"/>
        <w:keepNext/>
        <w:keepLines/>
        <w:widowControl/>
        <w:spacing w:before="240" w:after="240" w:line="298" w:lineRule="auto"/>
        <w:outlineLvl w:val="9"/>
        <w:rPr>
          <w:sz w:val="22"/>
          <w:szCs w:val="22"/>
        </w:rPr>
      </w:pPr>
      <w:bookmarkStart w:id="17" w:name="bookmark32"/>
      <w:r>
        <w:rPr>
          <w:sz w:val="22"/>
        </w:rPr>
        <w:t>ПРИМЕНЕНИЕ ПРИ БЕРЕМЕННОСТИ</w:t>
      </w:r>
      <w:bookmarkEnd w:id="17"/>
    </w:p>
    <w:p w14:paraId="342A0B12" w14:textId="0CD0817E" w:rsidR="00A00725" w:rsidRPr="00683AD3" w:rsidRDefault="00264D6C" w:rsidP="00174E56">
      <w:pPr>
        <w:pStyle w:val="11"/>
        <w:widowControl/>
        <w:spacing w:before="240" w:after="240" w:line="298" w:lineRule="auto"/>
        <w:rPr>
          <w:sz w:val="22"/>
          <w:szCs w:val="22"/>
        </w:rPr>
      </w:pPr>
      <w:r>
        <w:rPr>
          <w:sz w:val="22"/>
        </w:rPr>
        <w:t xml:space="preserve">Имеющихся данных о применении препарата </w:t>
      </w:r>
      <w:r w:rsidR="005878A4">
        <w:rPr>
          <w:sz w:val="22"/>
        </w:rPr>
        <w:t>КСЕЛЬЖАНС</w:t>
      </w:r>
      <w:r>
        <w:rPr>
          <w:sz w:val="22"/>
        </w:rPr>
        <w:t xml:space="preserve"> у женщин во время беременности недостаточно для установления связанного с этими препаратами риска основных врожденных пороков развития, выкидыша или неблагоприятных исходов для матери либо плода. Существуют риски для матери во время беременности и вынашиваемого плода, ассоциированные с ревматоидным артритом и ЯК. В исследованиях на животных применение тофацитиниба в дозе, в 6,3 раза превышающей максимальную рекомендуемую дозу 10 мг два раза в сутки, продемонстрировало неблагоприятные результаты для эмбриофетального развития. Значимость этих результатов для женщин, способных к деторождению, неясна. Для женщин детородного возраста следует рассмотреть возможность планирования и предотвращения беременности.</w:t>
      </w:r>
    </w:p>
    <w:p w14:paraId="2AE65F01" w14:textId="09EEC00F" w:rsidR="00F43FED" w:rsidRPr="00683AD3" w:rsidRDefault="00F43FED" w:rsidP="00174E56">
      <w:pPr>
        <w:pStyle w:val="11"/>
        <w:widowControl/>
        <w:spacing w:before="240" w:after="0" w:line="298" w:lineRule="auto"/>
        <w:rPr>
          <w:sz w:val="22"/>
          <w:szCs w:val="22"/>
        </w:rPr>
      </w:pPr>
      <w:r>
        <w:rPr>
          <w:sz w:val="22"/>
        </w:rPr>
        <w:lastRenderedPageBreak/>
        <w:t>_____________</w:t>
      </w:r>
    </w:p>
    <w:p w14:paraId="4BF7920C" w14:textId="1BF349A9" w:rsidR="00A00725" w:rsidRPr="00683AD3" w:rsidRDefault="00264D6C" w:rsidP="00174E56">
      <w:pPr>
        <w:pStyle w:val="11"/>
        <w:widowControl/>
        <w:spacing w:after="240" w:line="298" w:lineRule="auto"/>
        <w:rPr>
          <w:sz w:val="22"/>
          <w:szCs w:val="22"/>
        </w:rPr>
      </w:pPr>
      <w:r>
        <w:rPr>
          <w:sz w:val="22"/>
        </w:rPr>
        <w:t>* Если не указано иное, термин «</w:t>
      </w:r>
      <w:r w:rsidR="005878A4">
        <w:rPr>
          <w:sz w:val="22"/>
        </w:rPr>
        <w:t>КСЕЛЬЖАНС</w:t>
      </w:r>
      <w:r>
        <w:rPr>
          <w:sz w:val="22"/>
        </w:rPr>
        <w:t xml:space="preserve">» в важной информации по безопасности относится к препаратам </w:t>
      </w:r>
      <w:r w:rsidR="005878A4">
        <w:rPr>
          <w:sz w:val="22"/>
        </w:rPr>
        <w:t>КСЕЛЬЖАНС</w:t>
      </w:r>
      <w:r>
        <w:rPr>
          <w:sz w:val="22"/>
        </w:rPr>
        <w:t xml:space="preserve">, </w:t>
      </w:r>
      <w:r w:rsidR="005878A4">
        <w:rPr>
          <w:sz w:val="22"/>
        </w:rPr>
        <w:t>КСЕЛЬЖАНС</w:t>
      </w:r>
      <w:r>
        <w:rPr>
          <w:sz w:val="22"/>
        </w:rPr>
        <w:t xml:space="preserve"> XR и </w:t>
      </w:r>
      <w:r w:rsidR="005878A4">
        <w:rPr>
          <w:sz w:val="22"/>
        </w:rPr>
        <w:t>КСЕЛЬЖАНС</w:t>
      </w:r>
      <w:r>
        <w:rPr>
          <w:sz w:val="22"/>
        </w:rPr>
        <w:t xml:space="preserve"> в форме раствора для перорального применения.</w:t>
      </w:r>
    </w:p>
    <w:sectPr w:rsidR="00A00725" w:rsidRPr="00683AD3" w:rsidSect="006D489B">
      <w:footerReference w:type="default" r:id="rId9"/>
      <w:headerReference w:type="first" r:id="rId10"/>
      <w:pgSz w:w="12240" w:h="15840"/>
      <w:pgMar w:top="1418" w:right="1418" w:bottom="1418" w:left="1418" w:header="1134" w:footer="113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43450" w14:textId="77777777" w:rsidR="00347FD6" w:rsidRDefault="00347FD6">
      <w:r>
        <w:separator/>
      </w:r>
    </w:p>
  </w:endnote>
  <w:endnote w:type="continuationSeparator" w:id="0">
    <w:p w14:paraId="36DD748C" w14:textId="77777777" w:rsidR="00347FD6" w:rsidRDefault="003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83312" w14:textId="4EA22B37" w:rsidR="001B2987" w:rsidRDefault="001B2987" w:rsidP="00683AD3">
    <w:pPr>
      <w:pStyle w:val="20"/>
      <w:spacing w:before="120"/>
      <w:jc w:val="right"/>
      <w:rPr>
        <w:sz w:val="24"/>
        <w:szCs w:val="24"/>
      </w:rPr>
    </w:pPr>
    <w:r>
      <w:rPr>
        <w:rFonts w:ascii="Calibri" w:hAnsi="Calibri"/>
        <w:sz w:val="24"/>
      </w:rPr>
      <w:t>Стр. </w:t>
    </w:r>
    <w:r w:rsidRPr="001B2987">
      <w:rPr>
        <w:rFonts w:ascii="Calibri" w:eastAsia="Calibri" w:hAnsi="Calibri" w:cs="Calibri"/>
        <w:b/>
        <w:color w:val="0000C9"/>
        <w:sz w:val="24"/>
      </w:rPr>
      <w:fldChar w:fldCharType="begin"/>
    </w:r>
    <w:r w:rsidRPr="001B2987">
      <w:rPr>
        <w:rFonts w:ascii="Calibri" w:eastAsia="Calibri" w:hAnsi="Calibri" w:cs="Calibri"/>
        <w:b/>
        <w:color w:val="0000C9"/>
        <w:sz w:val="24"/>
      </w:rPr>
      <w:instrText>PAGE  \* Arabic  \* MERGEFORMAT</w:instrText>
    </w:r>
    <w:r w:rsidRPr="001B2987">
      <w:rPr>
        <w:rFonts w:ascii="Calibri" w:eastAsia="Calibri" w:hAnsi="Calibri" w:cs="Calibri"/>
        <w:b/>
        <w:color w:val="0000C9"/>
        <w:sz w:val="24"/>
      </w:rPr>
      <w:fldChar w:fldCharType="separate"/>
    </w:r>
    <w:r w:rsidR="00E91A92">
      <w:rPr>
        <w:rFonts w:ascii="Calibri" w:eastAsia="Calibri" w:hAnsi="Calibri" w:cs="Calibri"/>
        <w:b/>
        <w:noProof/>
        <w:color w:val="0000C9"/>
        <w:sz w:val="24"/>
      </w:rPr>
      <w:t>12</w:t>
    </w:r>
    <w:r w:rsidRPr="001B2987">
      <w:rPr>
        <w:rFonts w:ascii="Calibri" w:eastAsia="Calibri" w:hAnsi="Calibri" w:cs="Calibri"/>
        <w:b/>
        <w:color w:val="0000C9"/>
        <w:sz w:val="24"/>
      </w:rPr>
      <w:fldChar w:fldCharType="end"/>
    </w:r>
    <w:r>
      <w:rPr>
        <w:rFonts w:ascii="Calibri" w:hAnsi="Calibri"/>
        <w:sz w:val="24"/>
      </w:rPr>
      <w:t xml:space="preserve"> из </w:t>
    </w:r>
    <w:r w:rsidRPr="001B2987">
      <w:rPr>
        <w:rFonts w:ascii="Calibri" w:eastAsia="Calibri" w:hAnsi="Calibri" w:cs="Calibri"/>
        <w:b/>
        <w:color w:val="0000C9"/>
        <w:sz w:val="24"/>
      </w:rPr>
      <w:fldChar w:fldCharType="begin"/>
    </w:r>
    <w:r w:rsidRPr="001B2987">
      <w:rPr>
        <w:rFonts w:ascii="Calibri" w:eastAsia="Calibri" w:hAnsi="Calibri" w:cs="Calibri"/>
        <w:b/>
        <w:color w:val="0000C9"/>
        <w:sz w:val="24"/>
      </w:rPr>
      <w:instrText>NUMPAGES  \* Arabic  \* MERGEFORMAT</w:instrText>
    </w:r>
    <w:r w:rsidRPr="001B2987">
      <w:rPr>
        <w:rFonts w:ascii="Calibri" w:eastAsia="Calibri" w:hAnsi="Calibri" w:cs="Calibri"/>
        <w:b/>
        <w:color w:val="0000C9"/>
        <w:sz w:val="24"/>
      </w:rPr>
      <w:fldChar w:fldCharType="separate"/>
    </w:r>
    <w:r w:rsidR="00E91A92">
      <w:rPr>
        <w:rFonts w:ascii="Calibri" w:eastAsia="Calibri" w:hAnsi="Calibri" w:cs="Calibri"/>
        <w:b/>
        <w:noProof/>
        <w:color w:val="0000C9"/>
        <w:sz w:val="24"/>
      </w:rPr>
      <w:t>14</w:t>
    </w:r>
    <w:r w:rsidRPr="001B2987">
      <w:rPr>
        <w:rFonts w:ascii="Calibri" w:eastAsia="Calibri" w:hAnsi="Calibri" w:cs="Calibri"/>
        <w:b/>
        <w:color w:val="0000C9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FAE15" w14:textId="77777777" w:rsidR="00347FD6" w:rsidRDefault="00347FD6"/>
  </w:footnote>
  <w:footnote w:type="continuationSeparator" w:id="0">
    <w:p w14:paraId="37F0528E" w14:textId="77777777" w:rsidR="00347FD6" w:rsidRDefault="00347F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5091"/>
      <w:gridCol w:w="4430"/>
    </w:tblGrid>
    <w:tr w:rsidR="006D489B" w14:paraId="7027D96D" w14:textId="77777777" w:rsidTr="001B2987">
      <w:tc>
        <w:tcPr>
          <w:tcW w:w="6237" w:type="dxa"/>
          <w:tcBorders>
            <w:right w:val="single" w:sz="48" w:space="0" w:color="E93C3E"/>
          </w:tcBorders>
        </w:tcPr>
        <w:p w14:paraId="467F5675" w14:textId="6A2EEF61" w:rsidR="006D489B" w:rsidRPr="008D6612" w:rsidRDefault="006D489B" w:rsidP="001B2987">
          <w:pPr>
            <w:pStyle w:val="10"/>
            <w:keepNext/>
            <w:keepLines/>
            <w:spacing w:before="0"/>
            <w:rPr>
              <w:b w:val="0"/>
              <w:bCs w:val="0"/>
              <w:i w:val="0"/>
              <w:iCs w:val="0"/>
              <w:sz w:val="44"/>
              <w:szCs w:val="44"/>
              <w:lang w:val="en-US"/>
            </w:rPr>
          </w:pPr>
          <w:r w:rsidRPr="008D6612">
            <w:rPr>
              <w:b w:val="0"/>
              <w:i w:val="0"/>
              <w:sz w:val="44"/>
              <w:lang w:val="en-US"/>
            </w:rPr>
            <w:t>[</w:t>
          </w:r>
          <w:r>
            <w:rPr>
              <w:b w:val="0"/>
              <w:i w:val="0"/>
              <w:sz w:val="44"/>
            </w:rPr>
            <w:t>Логотип</w:t>
          </w:r>
          <w:r w:rsidRPr="008D6612">
            <w:rPr>
              <w:b w:val="0"/>
              <w:i w:val="0"/>
              <w:sz w:val="44"/>
              <w:lang w:val="en-US"/>
            </w:rPr>
            <w:t xml:space="preserve">: </w:t>
          </w:r>
          <w:bookmarkStart w:id="18" w:name="bookmark0"/>
          <w:r w:rsidRPr="008D6612">
            <w:rPr>
              <w:b w:val="0"/>
              <w:i w:val="0"/>
              <w:sz w:val="44"/>
              <w:lang w:val="en-US"/>
            </w:rPr>
            <w:t>Pfizer</w:t>
          </w:r>
          <w:bookmarkEnd w:id="18"/>
          <w:r w:rsidRPr="008D6612">
            <w:rPr>
              <w:b w:val="0"/>
              <w:i w:val="0"/>
              <w:sz w:val="44"/>
              <w:lang w:val="en-US"/>
            </w:rPr>
            <w:t>]</w:t>
          </w:r>
        </w:p>
        <w:p w14:paraId="36691CE8" w14:textId="77777777" w:rsidR="006D489B" w:rsidRPr="008D6612" w:rsidRDefault="006D489B" w:rsidP="001B2987">
          <w:pPr>
            <w:pStyle w:val="11"/>
            <w:spacing w:before="360" w:after="0" w:line="240" w:lineRule="auto"/>
            <w:rPr>
              <w:lang w:val="en-US"/>
            </w:rPr>
          </w:pPr>
          <w:r w:rsidRPr="008D6612">
            <w:rPr>
              <w:lang w:val="en-US"/>
            </w:rPr>
            <w:t>Pfizer Inc.</w:t>
          </w:r>
        </w:p>
        <w:p w14:paraId="7986B9EF" w14:textId="77777777" w:rsidR="006D489B" w:rsidRPr="008D6612" w:rsidRDefault="006D489B" w:rsidP="001B2987">
          <w:pPr>
            <w:pStyle w:val="11"/>
            <w:spacing w:after="0" w:line="240" w:lineRule="auto"/>
            <w:rPr>
              <w:lang w:val="en-US"/>
            </w:rPr>
          </w:pPr>
          <w:r w:rsidRPr="008D6612">
            <w:rPr>
              <w:lang w:val="en-US"/>
            </w:rPr>
            <w:t>235 East 42</w:t>
          </w:r>
          <w:r w:rsidRPr="008D6612">
            <w:rPr>
              <w:vertAlign w:val="superscript"/>
              <w:lang w:val="en-US"/>
            </w:rPr>
            <w:t>nd</w:t>
          </w:r>
          <w:r w:rsidRPr="008D6612">
            <w:rPr>
              <w:lang w:val="en-US"/>
            </w:rPr>
            <w:t xml:space="preserve"> Street</w:t>
          </w:r>
        </w:p>
        <w:p w14:paraId="044F5191" w14:textId="2099C9FC" w:rsidR="006D489B" w:rsidRPr="001B2987" w:rsidRDefault="006D489B" w:rsidP="001B2987">
          <w:pPr>
            <w:pStyle w:val="11"/>
            <w:spacing w:after="0" w:line="240" w:lineRule="auto"/>
            <w:rPr>
              <w:sz w:val="22"/>
              <w:szCs w:val="22"/>
            </w:rPr>
          </w:pPr>
          <w:r>
            <w:t>New York, NY 10017</w:t>
          </w:r>
        </w:p>
      </w:tc>
      <w:tc>
        <w:tcPr>
          <w:tcW w:w="3157" w:type="dxa"/>
          <w:tcBorders>
            <w:top w:val="single" w:sz="48" w:space="0" w:color="E93C3E"/>
            <w:left w:val="single" w:sz="48" w:space="0" w:color="E93C3E"/>
            <w:bottom w:val="single" w:sz="48" w:space="0" w:color="E93C3E"/>
            <w:right w:val="single" w:sz="48" w:space="0" w:color="E93C3E"/>
          </w:tcBorders>
        </w:tcPr>
        <w:p w14:paraId="070B11CA" w14:textId="77777777" w:rsidR="006D489B" w:rsidRPr="006D489B" w:rsidRDefault="006D489B" w:rsidP="001B2987">
          <w:pPr>
            <w:pStyle w:val="a4"/>
            <w:jc w:val="center"/>
            <w:rPr>
              <w:rFonts w:ascii="Arial" w:hAnsi="Arial" w:cs="Arial"/>
              <w:b/>
              <w:bCs/>
              <w:color w:val="E93C3E"/>
              <w:sz w:val="44"/>
              <w:szCs w:val="44"/>
            </w:rPr>
          </w:pPr>
          <w:r>
            <w:rPr>
              <w:rFonts w:ascii="Arial" w:hAnsi="Arial"/>
              <w:b/>
              <w:color w:val="E93C3E"/>
              <w:sz w:val="44"/>
            </w:rPr>
            <w:t>ВАЖНО!</w:t>
          </w:r>
        </w:p>
        <w:p w14:paraId="71F8C844" w14:textId="4EB62017" w:rsidR="006D489B" w:rsidRDefault="006D489B" w:rsidP="001B2987">
          <w:pPr>
            <w:pStyle w:val="a4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color w:val="E93C3E"/>
              <w:sz w:val="44"/>
            </w:rPr>
            <w:t>ПРЕДУПРЕЖДЕНИЕ О ЛЕКАРСТВЕННОМ ПРЕПАРАТЕ</w:t>
          </w:r>
        </w:p>
      </w:tc>
    </w:tr>
  </w:tbl>
  <w:p w14:paraId="60B7C086" w14:textId="77777777" w:rsidR="006D489B" w:rsidRPr="001B2987" w:rsidRDefault="006D489B">
    <w:pPr>
      <w:pStyle w:val="a4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573C"/>
    <w:multiLevelType w:val="multilevel"/>
    <w:tmpl w:val="64C4344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25"/>
    <w:rsid w:val="00005B09"/>
    <w:rsid w:val="000430A5"/>
    <w:rsid w:val="00062B41"/>
    <w:rsid w:val="00077992"/>
    <w:rsid w:val="000B6A26"/>
    <w:rsid w:val="000E355F"/>
    <w:rsid w:val="000F38C2"/>
    <w:rsid w:val="00174E56"/>
    <w:rsid w:val="00195AB0"/>
    <w:rsid w:val="001B2987"/>
    <w:rsid w:val="001C5F87"/>
    <w:rsid w:val="001D1041"/>
    <w:rsid w:val="00217152"/>
    <w:rsid w:val="00221C3B"/>
    <w:rsid w:val="00264D6C"/>
    <w:rsid w:val="00281660"/>
    <w:rsid w:val="002F763E"/>
    <w:rsid w:val="00303EFB"/>
    <w:rsid w:val="0031772E"/>
    <w:rsid w:val="00347FD6"/>
    <w:rsid w:val="003623F2"/>
    <w:rsid w:val="003D00DD"/>
    <w:rsid w:val="00421157"/>
    <w:rsid w:val="0042492E"/>
    <w:rsid w:val="00436BE0"/>
    <w:rsid w:val="00440ABA"/>
    <w:rsid w:val="00471BAB"/>
    <w:rsid w:val="00471F2F"/>
    <w:rsid w:val="004A34DF"/>
    <w:rsid w:val="004B1690"/>
    <w:rsid w:val="004B68D5"/>
    <w:rsid w:val="00530D01"/>
    <w:rsid w:val="00572ABC"/>
    <w:rsid w:val="005878A4"/>
    <w:rsid w:val="005930EF"/>
    <w:rsid w:val="005C68F2"/>
    <w:rsid w:val="005D4D50"/>
    <w:rsid w:val="005E6C0C"/>
    <w:rsid w:val="00683AD3"/>
    <w:rsid w:val="006D489B"/>
    <w:rsid w:val="006E64E3"/>
    <w:rsid w:val="006F6A12"/>
    <w:rsid w:val="00707949"/>
    <w:rsid w:val="00755D3B"/>
    <w:rsid w:val="00783C07"/>
    <w:rsid w:val="007B646F"/>
    <w:rsid w:val="007C62D6"/>
    <w:rsid w:val="00822F2D"/>
    <w:rsid w:val="00840E5E"/>
    <w:rsid w:val="00845369"/>
    <w:rsid w:val="008B0A34"/>
    <w:rsid w:val="008D6612"/>
    <w:rsid w:val="008D7EEF"/>
    <w:rsid w:val="008F04A1"/>
    <w:rsid w:val="008F62AF"/>
    <w:rsid w:val="008F6B6E"/>
    <w:rsid w:val="0092268E"/>
    <w:rsid w:val="009251DB"/>
    <w:rsid w:val="0094404D"/>
    <w:rsid w:val="0095248C"/>
    <w:rsid w:val="0096013A"/>
    <w:rsid w:val="00973808"/>
    <w:rsid w:val="009B63EC"/>
    <w:rsid w:val="009C01D6"/>
    <w:rsid w:val="00A00725"/>
    <w:rsid w:val="00A20724"/>
    <w:rsid w:val="00A34EB5"/>
    <w:rsid w:val="00A475DE"/>
    <w:rsid w:val="00AB4065"/>
    <w:rsid w:val="00AC1B9D"/>
    <w:rsid w:val="00AC23AE"/>
    <w:rsid w:val="00AD5411"/>
    <w:rsid w:val="00AE0409"/>
    <w:rsid w:val="00AF4750"/>
    <w:rsid w:val="00B23049"/>
    <w:rsid w:val="00B25BA5"/>
    <w:rsid w:val="00B37BEF"/>
    <w:rsid w:val="00B4738C"/>
    <w:rsid w:val="00B50454"/>
    <w:rsid w:val="00B54A60"/>
    <w:rsid w:val="00B8657D"/>
    <w:rsid w:val="00BB324A"/>
    <w:rsid w:val="00BB5A58"/>
    <w:rsid w:val="00BD42DB"/>
    <w:rsid w:val="00BF7DD0"/>
    <w:rsid w:val="00C01548"/>
    <w:rsid w:val="00C05DA4"/>
    <w:rsid w:val="00C52009"/>
    <w:rsid w:val="00C941B4"/>
    <w:rsid w:val="00CE0294"/>
    <w:rsid w:val="00CE22E8"/>
    <w:rsid w:val="00CF0743"/>
    <w:rsid w:val="00D05F57"/>
    <w:rsid w:val="00D34F2C"/>
    <w:rsid w:val="00D362E6"/>
    <w:rsid w:val="00D37925"/>
    <w:rsid w:val="00D72778"/>
    <w:rsid w:val="00D8296C"/>
    <w:rsid w:val="00DB2C62"/>
    <w:rsid w:val="00DC18CE"/>
    <w:rsid w:val="00E039AE"/>
    <w:rsid w:val="00E11554"/>
    <w:rsid w:val="00E40802"/>
    <w:rsid w:val="00E90D57"/>
    <w:rsid w:val="00E91A92"/>
    <w:rsid w:val="00F03FB0"/>
    <w:rsid w:val="00F114B3"/>
    <w:rsid w:val="00F32F08"/>
    <w:rsid w:val="00F37A59"/>
    <w:rsid w:val="00F43FED"/>
    <w:rsid w:val="00F9769D"/>
    <w:rsid w:val="00FB2BA9"/>
    <w:rsid w:val="00FC3098"/>
    <w:rsid w:val="00FD1A58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4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color w:val="0000C9"/>
      <w:sz w:val="52"/>
      <w:szCs w:val="52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pacing w:before="80"/>
      <w:outlineLvl w:val="0"/>
    </w:pPr>
    <w:rPr>
      <w:rFonts w:ascii="Arial" w:eastAsia="Arial" w:hAnsi="Arial" w:cs="Arial"/>
      <w:b/>
      <w:bCs/>
      <w:i/>
      <w:iCs/>
      <w:color w:val="0000C9"/>
      <w:sz w:val="52"/>
      <w:szCs w:val="52"/>
    </w:rPr>
  </w:style>
  <w:style w:type="paragraph" w:customStyle="1" w:styleId="11">
    <w:name w:val="Основной текст1"/>
    <w:basedOn w:val="a"/>
    <w:link w:val="a3"/>
    <w:pPr>
      <w:spacing w:after="200" w:line="334" w:lineRule="auto"/>
    </w:pPr>
    <w:rPr>
      <w:rFonts w:ascii="Arial" w:eastAsia="Arial" w:hAnsi="Arial" w:cs="Arial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00" w:line="334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D4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89B"/>
    <w:rPr>
      <w:color w:val="000000"/>
    </w:rPr>
  </w:style>
  <w:style w:type="paragraph" w:styleId="a6">
    <w:name w:val="footer"/>
    <w:basedOn w:val="a"/>
    <w:link w:val="a7"/>
    <w:uiPriority w:val="99"/>
    <w:unhideWhenUsed/>
    <w:rsid w:val="006D4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89B"/>
    <w:rPr>
      <w:color w:val="000000"/>
    </w:rPr>
  </w:style>
  <w:style w:type="table" w:styleId="a8">
    <w:name w:val="Table Grid"/>
    <w:basedOn w:val="a1"/>
    <w:uiPriority w:val="39"/>
    <w:rsid w:val="006D4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D7E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7EE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7EEF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7EE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7EEF"/>
    <w:rPr>
      <w:b/>
      <w:bCs/>
      <w:color w:val="000000"/>
      <w:sz w:val="20"/>
      <w:szCs w:val="20"/>
    </w:rPr>
  </w:style>
  <w:style w:type="character" w:styleId="ae">
    <w:name w:val="Hyperlink"/>
    <w:basedOn w:val="a0"/>
    <w:uiPriority w:val="99"/>
    <w:unhideWhenUsed/>
    <w:rsid w:val="00AC1B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1B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color w:val="0000C9"/>
      <w:sz w:val="52"/>
      <w:szCs w:val="52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pacing w:before="80"/>
      <w:outlineLvl w:val="0"/>
    </w:pPr>
    <w:rPr>
      <w:rFonts w:ascii="Arial" w:eastAsia="Arial" w:hAnsi="Arial" w:cs="Arial"/>
      <w:b/>
      <w:bCs/>
      <w:i/>
      <w:iCs/>
      <w:color w:val="0000C9"/>
      <w:sz w:val="52"/>
      <w:szCs w:val="52"/>
    </w:rPr>
  </w:style>
  <w:style w:type="paragraph" w:customStyle="1" w:styleId="11">
    <w:name w:val="Основной текст1"/>
    <w:basedOn w:val="a"/>
    <w:link w:val="a3"/>
    <w:pPr>
      <w:spacing w:after="200" w:line="334" w:lineRule="auto"/>
    </w:pPr>
    <w:rPr>
      <w:rFonts w:ascii="Arial" w:eastAsia="Arial" w:hAnsi="Arial" w:cs="Arial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00" w:line="334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D4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89B"/>
    <w:rPr>
      <w:color w:val="000000"/>
    </w:rPr>
  </w:style>
  <w:style w:type="paragraph" w:styleId="a6">
    <w:name w:val="footer"/>
    <w:basedOn w:val="a"/>
    <w:link w:val="a7"/>
    <w:uiPriority w:val="99"/>
    <w:unhideWhenUsed/>
    <w:rsid w:val="006D4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89B"/>
    <w:rPr>
      <w:color w:val="000000"/>
    </w:rPr>
  </w:style>
  <w:style w:type="table" w:styleId="a8">
    <w:name w:val="Table Grid"/>
    <w:basedOn w:val="a1"/>
    <w:uiPriority w:val="39"/>
    <w:rsid w:val="006D4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D7E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7EE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7EEF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7EE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7EEF"/>
    <w:rPr>
      <w:b/>
      <w:bCs/>
      <w:color w:val="000000"/>
      <w:sz w:val="20"/>
      <w:szCs w:val="20"/>
    </w:rPr>
  </w:style>
  <w:style w:type="character" w:styleId="ae">
    <w:name w:val="Hyperlink"/>
    <w:basedOn w:val="a0"/>
    <w:uiPriority w:val="99"/>
    <w:unhideWhenUsed/>
    <w:rsid w:val="00AC1B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4278</Words>
  <Characters>24386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Mukhamejan, Assem</dc:creator>
  <cp:lastModifiedBy>Алия А. Табаева</cp:lastModifiedBy>
  <cp:revision>2</cp:revision>
  <dcterms:created xsi:type="dcterms:W3CDTF">2022-02-24T11:31:00Z</dcterms:created>
  <dcterms:modified xsi:type="dcterms:W3CDTF">2022-02-24T11:31:00Z</dcterms:modified>
</cp:coreProperties>
</file>