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1"/>
      </w:tblGrid>
      <w:tr w:rsidR="0038469C" w:rsidTr="0038469C">
        <w:tc>
          <w:tcPr>
            <w:tcW w:w="9571" w:type="dxa"/>
            <w:shd w:val="clear" w:color="auto" w:fill="auto"/>
          </w:tcPr>
          <w:p w:rsidR="0038469C" w:rsidRPr="0038469C" w:rsidRDefault="0038469C" w:rsidP="00DB1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C0000"/>
                <w:szCs w:val="28"/>
                <w:lang w:eastAsia="en-US"/>
              </w:rPr>
            </w:pPr>
            <w:bookmarkStart w:id="0" w:name="_GoBack"/>
            <w:bookmarkEnd w:id="0"/>
          </w:p>
        </w:tc>
      </w:tr>
    </w:tbl>
    <w:p w:rsidR="00DB1388" w:rsidRPr="00BB4877" w:rsidRDefault="00DB1388" w:rsidP="00DB13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BB4877">
        <w:rPr>
          <w:rFonts w:eastAsia="Calibri"/>
          <w:b/>
          <w:sz w:val="28"/>
          <w:szCs w:val="28"/>
          <w:lang w:eastAsia="en-US"/>
        </w:rPr>
        <w:t xml:space="preserve">Прямое обращение к специалистам здравоохранения по препарату </w:t>
      </w:r>
      <w:proofErr w:type="spellStart"/>
      <w:r w:rsidRPr="00BB4877">
        <w:rPr>
          <w:rFonts w:eastAsia="Calibri"/>
          <w:b/>
          <w:sz w:val="28"/>
          <w:szCs w:val="28"/>
          <w:lang w:eastAsia="en-US"/>
        </w:rPr>
        <w:t>Октоклотин</w:t>
      </w:r>
      <w:proofErr w:type="spellEnd"/>
      <w:r w:rsidRPr="00BB4877">
        <w:rPr>
          <w:rFonts w:eastAsia="Calibri"/>
          <w:b/>
          <w:sz w:val="28"/>
          <w:szCs w:val="28"/>
          <w:lang w:eastAsia="en-US"/>
        </w:rPr>
        <w:t>,</w:t>
      </w:r>
      <w:r w:rsidRPr="00BB4877">
        <w:rPr>
          <w:sz w:val="28"/>
          <w:szCs w:val="28"/>
        </w:rPr>
        <w:t xml:space="preserve"> </w:t>
      </w:r>
      <w:proofErr w:type="spellStart"/>
      <w:r w:rsidRPr="00BB4877">
        <w:rPr>
          <w:b/>
          <w:bCs/>
          <w:sz w:val="28"/>
          <w:szCs w:val="28"/>
        </w:rPr>
        <w:t>лиофилизат</w:t>
      </w:r>
      <w:proofErr w:type="spellEnd"/>
      <w:r w:rsidRPr="00BB4877">
        <w:rPr>
          <w:b/>
          <w:bCs/>
          <w:sz w:val="28"/>
          <w:szCs w:val="28"/>
        </w:rPr>
        <w:t xml:space="preserve"> для приготовления раствора для внутривенного введения в комплекте с растворителем (раствор натрия хлорида 0,9%) 500 МЕ, 1000 МЕ, 2000 МЕ </w:t>
      </w:r>
    </w:p>
    <w:p w:rsidR="00DB1388" w:rsidRPr="00BB4877" w:rsidRDefault="00DB1388" w:rsidP="00DB13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DB1388" w:rsidRPr="00BB4877" w:rsidRDefault="00DB1388" w:rsidP="00DB13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8"/>
          <w:szCs w:val="28"/>
          <w:lang w:eastAsia="en-US"/>
        </w:rPr>
      </w:pPr>
      <w:r w:rsidRPr="00BB4877">
        <w:rPr>
          <w:rFonts w:eastAsia="Calibri"/>
          <w:b/>
          <w:sz w:val="28"/>
          <w:szCs w:val="28"/>
          <w:lang w:eastAsia="en-US"/>
        </w:rPr>
        <w:t>Рекомендации по дозированию</w:t>
      </w:r>
    </w:p>
    <w:p w:rsidR="00DB1388" w:rsidRPr="007F3667" w:rsidRDefault="00DB1388" w:rsidP="00DB1388">
      <w:pPr>
        <w:spacing w:line="256" w:lineRule="auto"/>
        <w:jc w:val="center"/>
        <w:rPr>
          <w:rFonts w:eastAsia="Calibri"/>
          <w:lang w:eastAsia="en-US"/>
        </w:rPr>
      </w:pPr>
    </w:p>
    <w:p w:rsidR="00DB1388" w:rsidRPr="007F3667" w:rsidRDefault="00DB1388" w:rsidP="00DB1388">
      <w:pPr>
        <w:autoSpaceDE w:val="0"/>
        <w:autoSpaceDN w:val="0"/>
        <w:adjustRightInd w:val="0"/>
        <w:jc w:val="both"/>
        <w:rPr>
          <w:rFonts w:eastAsia="Calibri"/>
          <w:color w:val="000000"/>
        </w:rPr>
      </w:pPr>
      <w:proofErr w:type="gramStart"/>
      <w:r w:rsidRPr="007F3667">
        <w:rPr>
          <w:rFonts w:eastAsia="Calibri"/>
          <w:color w:val="000000"/>
        </w:rPr>
        <w:t>Согласно</w:t>
      </w:r>
      <w:proofErr w:type="gramEnd"/>
      <w:r w:rsidRPr="007F3667">
        <w:rPr>
          <w:rFonts w:eastAsia="Calibri"/>
          <w:color w:val="000000"/>
        </w:rPr>
        <w:t xml:space="preserve"> </w:t>
      </w:r>
      <w:r>
        <w:rPr>
          <w:rFonts w:eastAsia="Calibri"/>
          <w:color w:val="000000"/>
        </w:rPr>
        <w:t xml:space="preserve">общей характеристики лекарственного препарата (ОХЛП) и </w:t>
      </w:r>
      <w:r w:rsidRPr="007F3667">
        <w:rPr>
          <w:rFonts w:eastAsia="Calibri"/>
          <w:color w:val="000000"/>
        </w:rPr>
        <w:t xml:space="preserve">инструкции по медицинскому применению (ИМП) лекарственного препарата </w:t>
      </w:r>
      <w:proofErr w:type="spellStart"/>
      <w:r>
        <w:rPr>
          <w:rFonts w:eastAsia="Calibri"/>
          <w:color w:val="000000"/>
        </w:rPr>
        <w:t>Октоклотин</w:t>
      </w:r>
      <w:proofErr w:type="spellEnd"/>
      <w:r w:rsidRPr="007F3667">
        <w:rPr>
          <w:rFonts w:eastAsia="Calibri"/>
          <w:color w:val="000000"/>
        </w:rPr>
        <w:t xml:space="preserve">, подготовлено Прямое обращение к специалистам здравоохранения (ПОСЗ). Работникам системы здравоохранения рекомендуется внимательно ознакомиться с данными ПОСЗ и </w:t>
      </w:r>
      <w:r>
        <w:rPr>
          <w:rFonts w:eastAsia="Calibri"/>
          <w:color w:val="000000"/>
          <w:lang w:val="kk-KZ"/>
        </w:rPr>
        <w:t>ОХЛП</w:t>
      </w:r>
      <w:r w:rsidRPr="007F3667">
        <w:rPr>
          <w:rFonts w:eastAsia="Calibri"/>
          <w:color w:val="000000"/>
        </w:rPr>
        <w:t>, обратив особое внимание на рекомендации по дозировке.</w:t>
      </w:r>
    </w:p>
    <w:p w:rsidR="00DB1388" w:rsidRPr="007F3667" w:rsidRDefault="00DB1388" w:rsidP="00DB1388">
      <w:pPr>
        <w:spacing w:line="254" w:lineRule="auto"/>
        <w:jc w:val="both"/>
        <w:rPr>
          <w:rFonts w:eastAsia="Calibri"/>
          <w:bCs/>
          <w:lang w:eastAsia="en-US"/>
        </w:rPr>
      </w:pPr>
      <w:r w:rsidRPr="007F3667">
        <w:rPr>
          <w:rFonts w:eastAsia="Calibri"/>
          <w:color w:val="000000"/>
        </w:rPr>
        <w:t>Ниже приводится краткое изложение наиболее важной информации.</w:t>
      </w:r>
    </w:p>
    <w:p w:rsidR="00DB1388" w:rsidRDefault="00DB1388" w:rsidP="00DB1388">
      <w:pPr>
        <w:jc w:val="center"/>
        <w:rPr>
          <w:lang w:eastAsia="en-US"/>
        </w:rPr>
      </w:pPr>
    </w:p>
    <w:p w:rsidR="00DB1388" w:rsidRPr="00EA782C" w:rsidRDefault="00DB1388" w:rsidP="00DB1388">
      <w:pPr>
        <w:jc w:val="center"/>
        <w:rPr>
          <w:b/>
          <w:bCs/>
          <w:lang w:val="kk-KZ" w:eastAsia="en-US"/>
        </w:rPr>
      </w:pPr>
      <w:r w:rsidRPr="005150AE">
        <w:rPr>
          <w:b/>
          <w:bCs/>
          <w:lang w:eastAsia="en-US"/>
        </w:rPr>
        <w:t>Режим дозирования и способ применения</w:t>
      </w:r>
    </w:p>
    <w:p w:rsidR="00DB1388" w:rsidRPr="005150AE" w:rsidRDefault="00DB1388" w:rsidP="00DB1388">
      <w:pPr>
        <w:jc w:val="center"/>
        <w:rPr>
          <w:b/>
          <w:bCs/>
          <w:lang w:eastAsia="en-US"/>
        </w:rPr>
      </w:pPr>
    </w:p>
    <w:p w:rsidR="00DB1388" w:rsidRPr="00EA782C" w:rsidRDefault="00DB1388" w:rsidP="00DB1388">
      <w:pPr>
        <w:tabs>
          <w:tab w:val="left" w:pos="567"/>
        </w:tabs>
        <w:contextualSpacing/>
        <w:jc w:val="both"/>
        <w:rPr>
          <w:lang w:bidi="ru-RU"/>
        </w:rPr>
      </w:pPr>
      <w:r>
        <w:rPr>
          <w:lang w:eastAsia="en-US"/>
        </w:rPr>
        <w:t xml:space="preserve">Лечение препаратом </w:t>
      </w:r>
      <w:proofErr w:type="spellStart"/>
      <w:r>
        <w:rPr>
          <w:lang w:eastAsia="en-US"/>
        </w:rPr>
        <w:t>Октоклотин</w:t>
      </w:r>
      <w:proofErr w:type="spellEnd"/>
      <w:r>
        <w:rPr>
          <w:lang w:eastAsia="en-US"/>
        </w:rPr>
        <w:t xml:space="preserve"> должно начинаться под наблюдением врача, имеющего опыт лечения гемофилии А. Во время терапии рекомендуется определять уровень активности фактора VIII для корректировки вводимой дозы и периодичности </w:t>
      </w:r>
      <w:proofErr w:type="gramStart"/>
      <w:r>
        <w:rPr>
          <w:lang w:eastAsia="en-US"/>
        </w:rPr>
        <w:t>повторных</w:t>
      </w:r>
      <w:proofErr w:type="gramEnd"/>
      <w:r>
        <w:rPr>
          <w:lang w:eastAsia="en-US"/>
        </w:rPr>
        <w:t xml:space="preserve"> </w:t>
      </w:r>
      <w:proofErr w:type="spellStart"/>
      <w:r>
        <w:rPr>
          <w:lang w:eastAsia="en-US"/>
        </w:rPr>
        <w:t>инфузий</w:t>
      </w:r>
      <w:proofErr w:type="spellEnd"/>
      <w:r>
        <w:rPr>
          <w:lang w:eastAsia="en-US"/>
        </w:rPr>
        <w:t>.</w:t>
      </w:r>
      <w:r>
        <w:rPr>
          <w:lang w:val="kk-KZ" w:eastAsia="en-US"/>
        </w:rPr>
        <w:t xml:space="preserve"> </w:t>
      </w:r>
      <w:r w:rsidRPr="00885993">
        <w:rPr>
          <w:lang w:bidi="ru-RU"/>
        </w:rPr>
        <w:t xml:space="preserve">Пациенты могут по-разному отвечать на терапию фактором VIII, демонстрируя разные периоды полувыведения и разное восстановление активности. Пациентам с пониженным или избыточным весом может потребоваться корректировка дозы на основании массы тела. В </w:t>
      </w:r>
      <w:proofErr w:type="gramStart"/>
      <w:r w:rsidRPr="00885993">
        <w:rPr>
          <w:lang w:bidi="ru-RU"/>
        </w:rPr>
        <w:t>случае</w:t>
      </w:r>
      <w:proofErr w:type="gramEnd"/>
      <w:r w:rsidRPr="00885993">
        <w:rPr>
          <w:lang w:bidi="ru-RU"/>
        </w:rPr>
        <w:t xml:space="preserve"> обширных хирургических вмешательств необходим тщательный мониторинг заместительной терапии с помощью анализа на свертываемость крови (активность фактора VIII в плазме).</w:t>
      </w:r>
    </w:p>
    <w:p w:rsidR="00DB1388" w:rsidRPr="00EA782C" w:rsidRDefault="00DB1388" w:rsidP="00DB1388">
      <w:pPr>
        <w:jc w:val="both"/>
        <w:rPr>
          <w:lang w:eastAsia="en-US"/>
        </w:rPr>
      </w:pPr>
    </w:p>
    <w:p w:rsidR="00DB1388" w:rsidRPr="00052A7C" w:rsidRDefault="00DB1388" w:rsidP="00DB1388">
      <w:pPr>
        <w:contextualSpacing/>
        <w:jc w:val="both"/>
        <w:rPr>
          <w:color w:val="000000"/>
          <w:lang w:bidi="ru-RU"/>
        </w:rPr>
      </w:pPr>
      <w:r w:rsidRPr="00052A7C">
        <w:rPr>
          <w:b/>
          <w:bCs/>
          <w:color w:val="000000"/>
          <w:lang w:bidi="ru-RU"/>
        </w:rPr>
        <w:t>Режим дозирования</w:t>
      </w:r>
    </w:p>
    <w:p w:rsidR="00DB1388" w:rsidRPr="00052A7C" w:rsidRDefault="00DB1388" w:rsidP="00DB1388">
      <w:pPr>
        <w:contextualSpacing/>
        <w:jc w:val="both"/>
      </w:pPr>
      <w:r w:rsidRPr="00052A7C">
        <w:t>Доза и продолжительность заместительной терапии зависят от степени выраженности дефицита фактора VIII, локализации и степени</w:t>
      </w:r>
      <w:r w:rsidRPr="00332BF6">
        <w:t xml:space="preserve"> </w:t>
      </w:r>
      <w:r w:rsidRPr="00052A7C">
        <w:t>кровотечения, а также от клинического состояния пациента. Принимаемые дозы должны подбираться</w:t>
      </w:r>
      <w:r w:rsidRPr="003818C3">
        <w:t xml:space="preserve"> </w:t>
      </w:r>
      <w:r w:rsidRPr="00052A7C">
        <w:t xml:space="preserve">соответственно клиническому ответу пациента. </w:t>
      </w:r>
      <w:r w:rsidRPr="00885993">
        <w:t>При наличии нейтрализующих антител в плазме крови у пациента могут потребоваться более высокие дозы препарата или соответствующее специфическое лечение, назначаемое лечащим врачом.</w:t>
      </w:r>
      <w:r>
        <w:t xml:space="preserve"> </w:t>
      </w:r>
    </w:p>
    <w:p w:rsidR="00DB1388" w:rsidRDefault="00DB1388" w:rsidP="00DB1388">
      <w:pPr>
        <w:tabs>
          <w:tab w:val="left" w:pos="567"/>
        </w:tabs>
        <w:contextualSpacing/>
        <w:jc w:val="both"/>
        <w:rPr>
          <w:color w:val="000000"/>
          <w:lang w:bidi="ru-RU"/>
        </w:rPr>
      </w:pPr>
      <w:r w:rsidRPr="00052A7C">
        <w:rPr>
          <w:color w:val="000000"/>
          <w:lang w:bidi="ru-RU"/>
        </w:rPr>
        <w:t>При совершении длительных поездок, пациентам с гемофилией А целесообразно иметь достаточный запас препарата фактора свертывания крови VIII, в соответствии с индивидуальным режимом терапии. Перед поездкой пациентам рекомендуется проконсультироваться с врачом.</w:t>
      </w:r>
    </w:p>
    <w:p w:rsidR="00DB1388" w:rsidRPr="00D12552" w:rsidRDefault="00DB1388" w:rsidP="00DB1388">
      <w:pPr>
        <w:contextualSpacing/>
        <w:jc w:val="both"/>
        <w:rPr>
          <w:i/>
          <w:lang w:bidi="ru-RU"/>
        </w:rPr>
      </w:pPr>
      <w:r w:rsidRPr="00D12552">
        <w:rPr>
          <w:i/>
          <w:lang w:bidi="ru-RU"/>
        </w:rPr>
        <w:t xml:space="preserve">Лечение по требованию </w:t>
      </w:r>
    </w:p>
    <w:p w:rsidR="00DB1388" w:rsidRPr="00052A7C" w:rsidRDefault="00DB1388" w:rsidP="00DB1388">
      <w:pPr>
        <w:contextualSpacing/>
        <w:jc w:val="both"/>
      </w:pPr>
      <w:r w:rsidRPr="00052A7C">
        <w:t>Расчет необходимой дозы фактора свертывания крови VIII основывается на эмпирически полученных данных о том, что 1 МЕ фактора VIII на килограмм массы тела повышает активность плазменного фактора VIII на 2 МЕ/</w:t>
      </w:r>
      <w:proofErr w:type="spellStart"/>
      <w:r w:rsidRPr="00045D16">
        <w:t>дл</w:t>
      </w:r>
      <w:proofErr w:type="spellEnd"/>
      <w:r w:rsidRPr="00045D16">
        <w:t>,</w:t>
      </w:r>
      <w:r w:rsidRPr="00052A7C">
        <w:t xml:space="preserve"> что составляет приблизительно 2 % от нормальной активности.</w:t>
      </w:r>
    </w:p>
    <w:p w:rsidR="00DB1388" w:rsidRPr="00713424" w:rsidRDefault="00DB1388" w:rsidP="00DB1388">
      <w:pPr>
        <w:contextualSpacing/>
        <w:jc w:val="both"/>
      </w:pPr>
      <w:r w:rsidRPr="00052A7C">
        <w:t xml:space="preserve">Разовая доза препарата </w:t>
      </w:r>
      <w:proofErr w:type="spellStart"/>
      <w:r w:rsidRPr="00052A7C">
        <w:t>Октоклотин</w:t>
      </w:r>
      <w:proofErr w:type="spellEnd"/>
      <w:r w:rsidRPr="00052A7C">
        <w:t xml:space="preserve"> рассчитывается при помощи следующей формулы для всех возрастных групп:</w:t>
      </w:r>
    </w:p>
    <w:tbl>
      <w:tblPr>
        <w:tblW w:w="0" w:type="auto"/>
        <w:jc w:val="center"/>
        <w:tblBorders>
          <w:insideH w:val="single" w:sz="4" w:space="0" w:color="auto"/>
        </w:tblBorders>
        <w:tblLook w:val="04A0" w:firstRow="1" w:lastRow="0" w:firstColumn="1" w:lastColumn="0" w:noHBand="0" w:noVBand="1"/>
      </w:tblPr>
      <w:tblGrid>
        <w:gridCol w:w="1809"/>
        <w:gridCol w:w="378"/>
        <w:gridCol w:w="1343"/>
        <w:gridCol w:w="336"/>
        <w:gridCol w:w="2540"/>
        <w:gridCol w:w="336"/>
        <w:gridCol w:w="2441"/>
      </w:tblGrid>
      <w:tr w:rsidR="00DB1388" w:rsidRPr="00713424" w:rsidTr="002149C4">
        <w:trPr>
          <w:trHeight w:val="1657"/>
          <w:jc w:val="center"/>
        </w:trPr>
        <w:tc>
          <w:tcPr>
            <w:tcW w:w="1809" w:type="dxa"/>
            <w:vAlign w:val="center"/>
          </w:tcPr>
          <w:p w:rsidR="00DB1388" w:rsidRPr="00713424" w:rsidRDefault="00DB1388" w:rsidP="002149C4">
            <w:pPr>
              <w:jc w:val="center"/>
              <w:rPr>
                <w:i/>
              </w:rPr>
            </w:pPr>
            <w:r w:rsidRPr="00713424">
              <w:rPr>
                <w:i/>
              </w:rPr>
              <w:t xml:space="preserve">Необходимое количество МЕ фактора </w:t>
            </w:r>
            <w:r w:rsidRPr="00713424">
              <w:rPr>
                <w:i/>
                <w:lang w:val="en-US"/>
              </w:rPr>
              <w:t>VIII</w:t>
            </w:r>
          </w:p>
        </w:tc>
        <w:tc>
          <w:tcPr>
            <w:tcW w:w="378" w:type="dxa"/>
            <w:vAlign w:val="center"/>
          </w:tcPr>
          <w:p w:rsidR="00DB1388" w:rsidRPr="00713424" w:rsidRDefault="00DB1388" w:rsidP="002149C4">
            <w:pPr>
              <w:jc w:val="center"/>
              <w:rPr>
                <w:i/>
              </w:rPr>
            </w:pPr>
            <w:r w:rsidRPr="00713424">
              <w:rPr>
                <w:i/>
              </w:rPr>
              <w:t>=</w:t>
            </w:r>
          </w:p>
        </w:tc>
        <w:tc>
          <w:tcPr>
            <w:tcW w:w="1343" w:type="dxa"/>
            <w:vAlign w:val="center"/>
          </w:tcPr>
          <w:p w:rsidR="00DB1388" w:rsidRPr="00713424" w:rsidRDefault="00DB1388" w:rsidP="002149C4">
            <w:pPr>
              <w:jc w:val="center"/>
              <w:rPr>
                <w:i/>
              </w:rPr>
            </w:pPr>
            <w:r w:rsidRPr="00713424">
              <w:rPr>
                <w:i/>
              </w:rPr>
              <w:t xml:space="preserve">Масса тела (в </w:t>
            </w:r>
            <w:proofErr w:type="gramStart"/>
            <w:r w:rsidRPr="00713424">
              <w:rPr>
                <w:i/>
              </w:rPr>
              <w:t>кг</w:t>
            </w:r>
            <w:proofErr w:type="gramEnd"/>
            <w:r w:rsidRPr="00713424">
              <w:rPr>
                <w:i/>
              </w:rPr>
              <w:t>)</w:t>
            </w:r>
          </w:p>
        </w:tc>
        <w:tc>
          <w:tcPr>
            <w:tcW w:w="336" w:type="dxa"/>
            <w:vAlign w:val="center"/>
          </w:tcPr>
          <w:p w:rsidR="00DB1388" w:rsidRPr="00713424" w:rsidRDefault="00DB1388" w:rsidP="002149C4">
            <w:pPr>
              <w:jc w:val="center"/>
            </w:pPr>
            <w:r w:rsidRPr="00713424">
              <w:t>х</w:t>
            </w:r>
          </w:p>
        </w:tc>
        <w:tc>
          <w:tcPr>
            <w:tcW w:w="2540" w:type="dxa"/>
            <w:vAlign w:val="center"/>
          </w:tcPr>
          <w:p w:rsidR="00DB1388" w:rsidRPr="00713424" w:rsidRDefault="00DB1388" w:rsidP="002149C4">
            <w:pPr>
              <w:jc w:val="center"/>
              <w:rPr>
                <w:i/>
              </w:rPr>
            </w:pPr>
            <w:r w:rsidRPr="00713424">
              <w:rPr>
                <w:i/>
              </w:rPr>
              <w:t>Необходимое повышение активности</w:t>
            </w:r>
          </w:p>
          <w:p w:rsidR="00DB1388" w:rsidRPr="00713424" w:rsidRDefault="00DB1388" w:rsidP="002149C4">
            <w:pPr>
              <w:jc w:val="center"/>
              <w:rPr>
                <w:i/>
              </w:rPr>
            </w:pPr>
            <w:r w:rsidRPr="00713424">
              <w:rPr>
                <w:i/>
              </w:rPr>
              <w:t>фактора VIII</w:t>
            </w:r>
          </w:p>
          <w:p w:rsidR="00DB1388" w:rsidRPr="00713424" w:rsidRDefault="00DB1388" w:rsidP="002149C4">
            <w:pPr>
              <w:jc w:val="center"/>
              <w:rPr>
                <w:i/>
              </w:rPr>
            </w:pPr>
            <w:r w:rsidRPr="00713424">
              <w:rPr>
                <w:i/>
              </w:rPr>
              <w:t xml:space="preserve"> (% или МЕ/</w:t>
            </w:r>
            <w:proofErr w:type="spellStart"/>
            <w:r w:rsidRPr="00713424">
              <w:rPr>
                <w:i/>
              </w:rPr>
              <w:t>дл</w:t>
            </w:r>
            <w:proofErr w:type="spellEnd"/>
            <w:r w:rsidRPr="00713424">
              <w:rPr>
                <w:i/>
              </w:rPr>
              <w:t>)</w:t>
            </w:r>
          </w:p>
        </w:tc>
        <w:tc>
          <w:tcPr>
            <w:tcW w:w="336" w:type="dxa"/>
            <w:vAlign w:val="center"/>
          </w:tcPr>
          <w:p w:rsidR="00DB1388" w:rsidRPr="00713424" w:rsidRDefault="00DB1388" w:rsidP="002149C4">
            <w:pPr>
              <w:jc w:val="center"/>
            </w:pPr>
            <w:r w:rsidRPr="00713424">
              <w:t>х</w:t>
            </w:r>
          </w:p>
        </w:tc>
        <w:tc>
          <w:tcPr>
            <w:tcW w:w="2441" w:type="dxa"/>
            <w:vAlign w:val="center"/>
          </w:tcPr>
          <w:p w:rsidR="00DB1388" w:rsidRPr="00713424" w:rsidRDefault="00DB1388" w:rsidP="002149C4">
            <w:pPr>
              <w:jc w:val="center"/>
              <w:rPr>
                <w:i/>
              </w:rPr>
            </w:pPr>
            <w:r>
              <w:rPr>
                <w:i/>
              </w:rPr>
              <w:t>0.</w:t>
            </w:r>
            <w:r w:rsidRPr="00713424">
              <w:rPr>
                <w:i/>
              </w:rPr>
              <w:t>5 (МЕ/кг на МЕ/</w:t>
            </w:r>
            <w:proofErr w:type="spellStart"/>
            <w:r w:rsidRPr="00713424">
              <w:rPr>
                <w:i/>
              </w:rPr>
              <w:t>дл</w:t>
            </w:r>
            <w:proofErr w:type="spellEnd"/>
            <w:r w:rsidRPr="00713424">
              <w:rPr>
                <w:i/>
              </w:rPr>
              <w:t>)</w:t>
            </w:r>
          </w:p>
        </w:tc>
      </w:tr>
    </w:tbl>
    <w:p w:rsidR="00DB1388" w:rsidRPr="00885993" w:rsidRDefault="00DB1388" w:rsidP="00DB1388">
      <w:pPr>
        <w:contextualSpacing/>
        <w:jc w:val="both"/>
        <w:rPr>
          <w:i/>
        </w:rPr>
      </w:pPr>
      <w:r w:rsidRPr="00885993">
        <w:rPr>
          <w:i/>
        </w:rPr>
        <w:lastRenderedPageBreak/>
        <w:t>где величина 0.5 МЕ/кг на МЕ/</w:t>
      </w:r>
      <w:proofErr w:type="spellStart"/>
      <w:r w:rsidRPr="00885993">
        <w:rPr>
          <w:i/>
        </w:rPr>
        <w:t>дл</w:t>
      </w:r>
      <w:proofErr w:type="spellEnd"/>
      <w:r w:rsidRPr="00885993">
        <w:rPr>
          <w:i/>
        </w:rPr>
        <w:t xml:space="preserve"> представляет рост восстановления активности, в целом наблюдаемого после введения фактора VIII. </w:t>
      </w:r>
    </w:p>
    <w:p w:rsidR="00DB1388" w:rsidRPr="00052A7C" w:rsidRDefault="00DB1388" w:rsidP="00DB1388">
      <w:pPr>
        <w:tabs>
          <w:tab w:val="left" w:pos="567"/>
        </w:tabs>
        <w:contextualSpacing/>
        <w:jc w:val="both"/>
        <w:rPr>
          <w:iCs/>
          <w:color w:val="000000"/>
          <w:lang w:bidi="ru-RU"/>
        </w:rPr>
      </w:pPr>
    </w:p>
    <w:p w:rsidR="00DB1388" w:rsidRPr="00052A7C" w:rsidRDefault="00DB1388" w:rsidP="00DB1388">
      <w:pPr>
        <w:contextualSpacing/>
        <w:jc w:val="both"/>
      </w:pPr>
      <w:r w:rsidRPr="00052A7C">
        <w:t>Количество и частота введений должны всегда быть направлены на</w:t>
      </w:r>
      <w:r w:rsidRPr="00332BF6">
        <w:t xml:space="preserve"> </w:t>
      </w:r>
      <w:r w:rsidRPr="00052A7C">
        <w:t>клиническую эффективность в каждом отдельном случае.</w:t>
      </w:r>
    </w:p>
    <w:p w:rsidR="00DB1388" w:rsidRDefault="00DB1388" w:rsidP="00DB1388">
      <w:pPr>
        <w:contextualSpacing/>
        <w:jc w:val="both"/>
      </w:pPr>
      <w:r w:rsidRPr="00052A7C">
        <w:t>При развитии приведенных в таблице геморрагических проявлений активность фактора VIII в плазме крови не должна опускаться ниже указанных уровней (</w:t>
      </w:r>
      <w:proofErr w:type="gramStart"/>
      <w:r w:rsidRPr="00052A7C">
        <w:t>в</w:t>
      </w:r>
      <w:proofErr w:type="gramEnd"/>
      <w:r w:rsidRPr="00052A7C">
        <w:t xml:space="preserve"> % </w:t>
      </w:r>
      <w:proofErr w:type="gramStart"/>
      <w:r w:rsidRPr="00052A7C">
        <w:t>от</w:t>
      </w:r>
      <w:proofErr w:type="gramEnd"/>
      <w:r w:rsidRPr="00052A7C">
        <w:t xml:space="preserve"> нормы или в МЕ/</w:t>
      </w:r>
      <w:proofErr w:type="spellStart"/>
      <w:r w:rsidRPr="00052A7C">
        <w:t>дл</w:t>
      </w:r>
      <w:proofErr w:type="spellEnd"/>
      <w:r w:rsidRPr="00052A7C">
        <w:t>) в течение соответствующего периода времени.</w:t>
      </w:r>
      <w:r w:rsidRPr="00332BF6">
        <w:t xml:space="preserve"> </w:t>
      </w:r>
      <w:r w:rsidRPr="00052A7C">
        <w:t xml:space="preserve">Приведенная ниже таблица может быть использована для расчета доз </w:t>
      </w:r>
      <w:proofErr w:type="spellStart"/>
      <w:r w:rsidRPr="00052A7C">
        <w:t>Октоклотина</w:t>
      </w:r>
      <w:proofErr w:type="spellEnd"/>
      <w:r w:rsidRPr="00052A7C">
        <w:t xml:space="preserve"> при различных видах кровотечения и оперативных вмешательствах.</w:t>
      </w:r>
    </w:p>
    <w:p w:rsidR="00DB1388" w:rsidRPr="00052A7C" w:rsidRDefault="00DB1388" w:rsidP="00DB1388">
      <w:pPr>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66"/>
        <w:gridCol w:w="3803"/>
      </w:tblGrid>
      <w:tr w:rsidR="00DB1388" w:rsidRPr="00052A7C" w:rsidTr="002149C4">
        <w:trPr>
          <w:tblHeader/>
        </w:trPr>
        <w:tc>
          <w:tcPr>
            <w:tcW w:w="2410" w:type="dxa"/>
            <w:shd w:val="clear" w:color="auto" w:fill="auto"/>
            <w:vAlign w:val="center"/>
            <w:hideMark/>
          </w:tcPr>
          <w:p w:rsidR="00DB1388" w:rsidRPr="00052A7C" w:rsidRDefault="00DB1388" w:rsidP="002149C4">
            <w:pPr>
              <w:contextualSpacing/>
              <w:jc w:val="center"/>
              <w:rPr>
                <w:b/>
              </w:rPr>
            </w:pPr>
            <w:r w:rsidRPr="00052A7C">
              <w:rPr>
                <w:b/>
              </w:rPr>
              <w:t>Вид</w:t>
            </w:r>
            <w:r>
              <w:rPr>
                <w:b/>
              </w:rPr>
              <w:t xml:space="preserve">ы </w:t>
            </w:r>
            <w:r w:rsidRPr="00052A7C">
              <w:rPr>
                <w:b/>
              </w:rPr>
              <w:t>кровотечения или оперативного вмешательства</w:t>
            </w:r>
          </w:p>
        </w:tc>
        <w:tc>
          <w:tcPr>
            <w:tcW w:w="2966" w:type="dxa"/>
            <w:shd w:val="clear" w:color="auto" w:fill="auto"/>
            <w:vAlign w:val="center"/>
            <w:hideMark/>
          </w:tcPr>
          <w:p w:rsidR="00DB1388" w:rsidRPr="00052A7C" w:rsidRDefault="00DB1388" w:rsidP="002149C4">
            <w:pPr>
              <w:contextualSpacing/>
              <w:jc w:val="center"/>
              <w:rPr>
                <w:b/>
              </w:rPr>
            </w:pPr>
            <w:r w:rsidRPr="00052A7C">
              <w:rPr>
                <w:b/>
              </w:rPr>
              <w:t>Необходимый уровень активности фактора свертывания крови VIII в плазме (% или МЕ/</w:t>
            </w:r>
            <w:proofErr w:type="spellStart"/>
            <w:r w:rsidRPr="00052A7C">
              <w:rPr>
                <w:b/>
              </w:rPr>
              <w:t>дл</w:t>
            </w:r>
            <w:proofErr w:type="spellEnd"/>
            <w:r w:rsidRPr="00052A7C">
              <w:rPr>
                <w:b/>
              </w:rPr>
              <w:t>)</w:t>
            </w:r>
          </w:p>
        </w:tc>
        <w:tc>
          <w:tcPr>
            <w:tcW w:w="3803" w:type="dxa"/>
            <w:shd w:val="clear" w:color="auto" w:fill="auto"/>
            <w:vAlign w:val="center"/>
            <w:hideMark/>
          </w:tcPr>
          <w:p w:rsidR="00DB1388" w:rsidRPr="00052A7C" w:rsidRDefault="00DB1388" w:rsidP="002149C4">
            <w:pPr>
              <w:contextualSpacing/>
              <w:jc w:val="center"/>
              <w:rPr>
                <w:b/>
              </w:rPr>
            </w:pPr>
            <w:r w:rsidRPr="00052A7C">
              <w:rPr>
                <w:b/>
              </w:rPr>
              <w:t>Периодичность введения</w:t>
            </w:r>
            <w:r>
              <w:rPr>
                <w:b/>
              </w:rPr>
              <w:t xml:space="preserve"> </w:t>
            </w:r>
            <w:r w:rsidRPr="00052A7C">
              <w:rPr>
                <w:b/>
              </w:rPr>
              <w:t>(часы)/ продолжительность терапии (дни)</w:t>
            </w:r>
          </w:p>
        </w:tc>
      </w:tr>
      <w:tr w:rsidR="00DB1388" w:rsidRPr="00052A7C" w:rsidTr="002149C4">
        <w:trPr>
          <w:trHeight w:val="70"/>
        </w:trPr>
        <w:tc>
          <w:tcPr>
            <w:tcW w:w="9179" w:type="dxa"/>
            <w:gridSpan w:val="3"/>
            <w:shd w:val="clear" w:color="auto" w:fill="auto"/>
            <w:hideMark/>
          </w:tcPr>
          <w:p w:rsidR="00DB1388" w:rsidRPr="00052A7C" w:rsidRDefault="00DB1388" w:rsidP="002149C4">
            <w:pPr>
              <w:contextualSpacing/>
              <w:rPr>
                <w:i/>
              </w:rPr>
            </w:pPr>
            <w:r w:rsidRPr="00052A7C">
              <w:rPr>
                <w:bCs/>
                <w:i/>
              </w:rPr>
              <w:t>Кровотечения</w:t>
            </w:r>
          </w:p>
        </w:tc>
      </w:tr>
      <w:tr w:rsidR="00DB1388" w:rsidRPr="00052A7C" w:rsidTr="002149C4">
        <w:trPr>
          <w:trHeight w:val="189"/>
        </w:trPr>
        <w:tc>
          <w:tcPr>
            <w:tcW w:w="2410" w:type="dxa"/>
            <w:shd w:val="clear" w:color="auto" w:fill="auto"/>
            <w:vAlign w:val="center"/>
            <w:hideMark/>
          </w:tcPr>
          <w:p w:rsidR="00DB1388" w:rsidRPr="00052A7C" w:rsidRDefault="00DB1388" w:rsidP="002149C4">
            <w:pPr>
              <w:contextualSpacing/>
            </w:pPr>
            <w:r w:rsidRPr="00052A7C">
              <w:t xml:space="preserve">Ранняя фаза гемартроза, кровоизлияние в мышцу или кровотечение в полости рта </w:t>
            </w:r>
          </w:p>
        </w:tc>
        <w:tc>
          <w:tcPr>
            <w:tcW w:w="2966" w:type="dxa"/>
            <w:shd w:val="clear" w:color="auto" w:fill="auto"/>
            <w:vAlign w:val="center"/>
            <w:hideMark/>
          </w:tcPr>
          <w:p w:rsidR="00DB1388" w:rsidRPr="00052A7C" w:rsidRDefault="00DB1388" w:rsidP="002149C4">
            <w:pPr>
              <w:contextualSpacing/>
              <w:jc w:val="center"/>
            </w:pPr>
            <w:r w:rsidRPr="00052A7C">
              <w:t>20–40</w:t>
            </w:r>
          </w:p>
        </w:tc>
        <w:tc>
          <w:tcPr>
            <w:tcW w:w="3803" w:type="dxa"/>
            <w:shd w:val="clear" w:color="auto" w:fill="auto"/>
            <w:hideMark/>
          </w:tcPr>
          <w:p w:rsidR="00DB1388" w:rsidRPr="00052A7C" w:rsidRDefault="00DB1388" w:rsidP="002149C4">
            <w:pPr>
              <w:contextualSpacing/>
              <w:jc w:val="both"/>
            </w:pPr>
            <w:r w:rsidRPr="00052A7C">
              <w:t>Повторные инъекции препарата каждые 12–24 часа, как минимум в течение</w:t>
            </w:r>
            <w:r>
              <w:t xml:space="preserve"> </w:t>
            </w:r>
            <w:r w:rsidRPr="00052A7C">
              <w:t>1 суток до остановки кровотечения</w:t>
            </w:r>
            <w:r>
              <w:t>.</w:t>
            </w:r>
          </w:p>
        </w:tc>
      </w:tr>
      <w:tr w:rsidR="00DB1388" w:rsidRPr="00052A7C" w:rsidTr="002149C4">
        <w:tc>
          <w:tcPr>
            <w:tcW w:w="2410" w:type="dxa"/>
            <w:shd w:val="clear" w:color="auto" w:fill="auto"/>
            <w:vAlign w:val="center"/>
            <w:hideMark/>
          </w:tcPr>
          <w:p w:rsidR="00DB1388" w:rsidRPr="00052A7C" w:rsidRDefault="00DB1388" w:rsidP="002149C4">
            <w:pPr>
              <w:contextualSpacing/>
            </w:pPr>
            <w:r w:rsidRPr="00052A7C">
              <w:t>Более выраженный гемартроз, кровоизлияние в мышцу</w:t>
            </w:r>
            <w:r w:rsidRPr="00332BF6">
              <w:t xml:space="preserve"> </w:t>
            </w:r>
            <w:r w:rsidRPr="00052A7C">
              <w:t xml:space="preserve">или гематома </w:t>
            </w:r>
          </w:p>
        </w:tc>
        <w:tc>
          <w:tcPr>
            <w:tcW w:w="2966" w:type="dxa"/>
            <w:shd w:val="clear" w:color="auto" w:fill="auto"/>
            <w:vAlign w:val="center"/>
            <w:hideMark/>
          </w:tcPr>
          <w:p w:rsidR="00DB1388" w:rsidRPr="00052A7C" w:rsidRDefault="00DB1388" w:rsidP="002149C4">
            <w:pPr>
              <w:contextualSpacing/>
              <w:jc w:val="center"/>
            </w:pPr>
            <w:r w:rsidRPr="00052A7C">
              <w:t>30–60</w:t>
            </w:r>
          </w:p>
        </w:tc>
        <w:tc>
          <w:tcPr>
            <w:tcW w:w="3803" w:type="dxa"/>
            <w:shd w:val="clear" w:color="auto" w:fill="auto"/>
            <w:hideMark/>
          </w:tcPr>
          <w:p w:rsidR="00DB1388" w:rsidRPr="00052A7C" w:rsidRDefault="00DB1388" w:rsidP="002149C4">
            <w:pPr>
              <w:contextualSpacing/>
              <w:jc w:val="both"/>
            </w:pPr>
            <w:r w:rsidRPr="00052A7C">
              <w:t>Повторные инъекции препарата каждые 12–24 часа</w:t>
            </w:r>
            <w:r w:rsidRPr="00332BF6">
              <w:t xml:space="preserve"> </w:t>
            </w:r>
            <w:r w:rsidRPr="00052A7C">
              <w:t>в течение 3–4 дней или более, до разрешения болевого синдрома и острого нарушения функций.</w:t>
            </w:r>
          </w:p>
        </w:tc>
      </w:tr>
      <w:tr w:rsidR="00DB1388" w:rsidRPr="00052A7C" w:rsidTr="002149C4">
        <w:tc>
          <w:tcPr>
            <w:tcW w:w="2410" w:type="dxa"/>
            <w:shd w:val="clear" w:color="auto" w:fill="auto"/>
            <w:vAlign w:val="center"/>
            <w:hideMark/>
          </w:tcPr>
          <w:p w:rsidR="00DB1388" w:rsidRPr="00052A7C" w:rsidRDefault="00DB1388" w:rsidP="002149C4">
            <w:pPr>
              <w:contextualSpacing/>
            </w:pPr>
            <w:r w:rsidRPr="00052A7C">
              <w:t>Угрожающее жизни кровотечение</w:t>
            </w:r>
          </w:p>
        </w:tc>
        <w:tc>
          <w:tcPr>
            <w:tcW w:w="2966" w:type="dxa"/>
            <w:shd w:val="clear" w:color="auto" w:fill="auto"/>
            <w:vAlign w:val="center"/>
            <w:hideMark/>
          </w:tcPr>
          <w:p w:rsidR="00DB1388" w:rsidRPr="00052A7C" w:rsidRDefault="00DB1388" w:rsidP="002149C4">
            <w:pPr>
              <w:contextualSpacing/>
              <w:jc w:val="center"/>
            </w:pPr>
            <w:r w:rsidRPr="00052A7C">
              <w:t>60–100</w:t>
            </w:r>
          </w:p>
        </w:tc>
        <w:tc>
          <w:tcPr>
            <w:tcW w:w="3803" w:type="dxa"/>
            <w:shd w:val="clear" w:color="auto" w:fill="auto"/>
            <w:hideMark/>
          </w:tcPr>
          <w:p w:rsidR="00DB1388" w:rsidRPr="00052A7C" w:rsidRDefault="00DB1388" w:rsidP="002149C4">
            <w:pPr>
              <w:contextualSpacing/>
              <w:jc w:val="both"/>
            </w:pPr>
            <w:r w:rsidRPr="00052A7C">
              <w:t xml:space="preserve">Повторные инъекции препарата каждые 8–24 часа </w:t>
            </w:r>
            <w:r w:rsidRPr="00885993">
              <w:t>до</w:t>
            </w:r>
            <w:r>
              <w:t xml:space="preserve"> </w:t>
            </w:r>
            <w:r w:rsidRPr="00885993">
              <w:t>полной остановки кровотечения, далее поддерживающая терапия в течение 14 дней с интервалом 24ч</w:t>
            </w:r>
          </w:p>
        </w:tc>
      </w:tr>
      <w:tr w:rsidR="00DB1388" w:rsidRPr="00052A7C" w:rsidTr="002149C4">
        <w:tc>
          <w:tcPr>
            <w:tcW w:w="9179" w:type="dxa"/>
            <w:gridSpan w:val="3"/>
            <w:shd w:val="clear" w:color="auto" w:fill="auto"/>
            <w:hideMark/>
          </w:tcPr>
          <w:p w:rsidR="00DB1388" w:rsidRPr="00052A7C" w:rsidRDefault="00DB1388" w:rsidP="002149C4">
            <w:pPr>
              <w:contextualSpacing/>
              <w:rPr>
                <w:i/>
              </w:rPr>
            </w:pPr>
            <w:r w:rsidRPr="00052A7C">
              <w:rPr>
                <w:bCs/>
                <w:i/>
              </w:rPr>
              <w:t>Оперативное вмешательство</w:t>
            </w:r>
          </w:p>
        </w:tc>
      </w:tr>
      <w:tr w:rsidR="00DB1388" w:rsidRPr="00052A7C" w:rsidTr="002149C4">
        <w:tc>
          <w:tcPr>
            <w:tcW w:w="2410" w:type="dxa"/>
            <w:shd w:val="clear" w:color="auto" w:fill="auto"/>
            <w:vAlign w:val="center"/>
            <w:hideMark/>
          </w:tcPr>
          <w:p w:rsidR="00DB1388" w:rsidRPr="00052A7C" w:rsidRDefault="00DB1388" w:rsidP="002149C4">
            <w:pPr>
              <w:contextualSpacing/>
            </w:pPr>
            <w:r w:rsidRPr="00052A7C">
              <w:t>Малое оперативное вмешательство, включая удаление зуба</w:t>
            </w:r>
          </w:p>
        </w:tc>
        <w:tc>
          <w:tcPr>
            <w:tcW w:w="2966" w:type="dxa"/>
            <w:shd w:val="clear" w:color="auto" w:fill="auto"/>
            <w:vAlign w:val="center"/>
            <w:hideMark/>
          </w:tcPr>
          <w:p w:rsidR="00DB1388" w:rsidRPr="00052A7C" w:rsidRDefault="00DB1388" w:rsidP="002149C4">
            <w:pPr>
              <w:contextualSpacing/>
              <w:jc w:val="center"/>
            </w:pPr>
            <w:r w:rsidRPr="00052A7C">
              <w:t>30–60</w:t>
            </w:r>
          </w:p>
        </w:tc>
        <w:tc>
          <w:tcPr>
            <w:tcW w:w="3803" w:type="dxa"/>
            <w:shd w:val="clear" w:color="auto" w:fill="auto"/>
            <w:hideMark/>
          </w:tcPr>
          <w:p w:rsidR="00DB1388" w:rsidRPr="00052A7C" w:rsidRDefault="00DB1388" w:rsidP="002149C4">
            <w:pPr>
              <w:contextualSpacing/>
              <w:jc w:val="both"/>
            </w:pPr>
            <w:r w:rsidRPr="00052A7C">
              <w:t>Повторные инъекции препарата каждые 24 часа, как минимум в течение 1 суток до остановки кровотечения.</w:t>
            </w:r>
          </w:p>
        </w:tc>
      </w:tr>
      <w:tr w:rsidR="00DB1388" w:rsidRPr="00052A7C" w:rsidTr="002149C4">
        <w:trPr>
          <w:trHeight w:val="2032"/>
        </w:trPr>
        <w:tc>
          <w:tcPr>
            <w:tcW w:w="2410" w:type="dxa"/>
            <w:shd w:val="clear" w:color="auto" w:fill="auto"/>
            <w:vAlign w:val="center"/>
            <w:hideMark/>
          </w:tcPr>
          <w:p w:rsidR="00DB1388" w:rsidRPr="00052A7C" w:rsidRDefault="00DB1388" w:rsidP="002149C4">
            <w:pPr>
              <w:contextualSpacing/>
            </w:pPr>
            <w:r w:rsidRPr="00052A7C">
              <w:t>Обширное оперативное вмешательство</w:t>
            </w:r>
          </w:p>
        </w:tc>
        <w:tc>
          <w:tcPr>
            <w:tcW w:w="2966" w:type="dxa"/>
            <w:shd w:val="clear" w:color="auto" w:fill="auto"/>
            <w:vAlign w:val="center"/>
            <w:hideMark/>
          </w:tcPr>
          <w:p w:rsidR="00DB1388" w:rsidRPr="00052A7C" w:rsidRDefault="00DB1388" w:rsidP="002149C4">
            <w:pPr>
              <w:contextualSpacing/>
              <w:jc w:val="center"/>
            </w:pPr>
            <w:r w:rsidRPr="00052A7C">
              <w:t>80–100 (до и после оперативного вмешательства)</w:t>
            </w:r>
          </w:p>
        </w:tc>
        <w:tc>
          <w:tcPr>
            <w:tcW w:w="3803" w:type="dxa"/>
            <w:shd w:val="clear" w:color="auto" w:fill="auto"/>
            <w:hideMark/>
          </w:tcPr>
          <w:p w:rsidR="00DB1388" w:rsidRPr="00052A7C" w:rsidRDefault="00DB1388" w:rsidP="002149C4">
            <w:pPr>
              <w:contextualSpacing/>
              <w:jc w:val="both"/>
            </w:pPr>
            <w:r w:rsidRPr="00052A7C">
              <w:t>Повторные инъекции препарата каждые 8–24 часа до адекватного заживления раны, затем терапия на протяжении</w:t>
            </w:r>
            <w:r w:rsidRPr="00332BF6">
              <w:t xml:space="preserve"> </w:t>
            </w:r>
            <w:r w:rsidRPr="00052A7C">
              <w:t>не менее 7 дней для поддержания активности фактора свертывания крови VIII на уровне 30–60% (МЕ/</w:t>
            </w:r>
            <w:proofErr w:type="spellStart"/>
            <w:r w:rsidRPr="00052A7C">
              <w:t>дл</w:t>
            </w:r>
            <w:proofErr w:type="spellEnd"/>
            <w:r w:rsidRPr="00052A7C">
              <w:t>).</w:t>
            </w:r>
          </w:p>
        </w:tc>
      </w:tr>
    </w:tbl>
    <w:p w:rsidR="00DB1388" w:rsidRPr="005150AE" w:rsidRDefault="00DB1388" w:rsidP="00DB1388">
      <w:pPr>
        <w:jc w:val="center"/>
        <w:rPr>
          <w:sz w:val="18"/>
          <w:szCs w:val="18"/>
          <w:lang w:eastAsia="en-US"/>
        </w:rPr>
      </w:pPr>
    </w:p>
    <w:p w:rsidR="00DB1388" w:rsidRPr="00661171" w:rsidRDefault="00DB1388" w:rsidP="00DB1388">
      <w:pPr>
        <w:contextualSpacing/>
        <w:jc w:val="both"/>
        <w:rPr>
          <w:i/>
        </w:rPr>
      </w:pPr>
      <w:r w:rsidRPr="00D12552">
        <w:rPr>
          <w:i/>
        </w:rPr>
        <w:t>Профилактика</w:t>
      </w:r>
    </w:p>
    <w:p w:rsidR="00DB1388" w:rsidRDefault="00DB1388" w:rsidP="00DB1388">
      <w:pPr>
        <w:contextualSpacing/>
        <w:jc w:val="both"/>
      </w:pPr>
      <w:r w:rsidRPr="00052A7C">
        <w:t>Для долгосрочной профилактики кровотечений у пациентов, страдающих тяжелой формой гемофилии A,</w:t>
      </w:r>
      <w:r w:rsidRPr="00332BF6">
        <w:t xml:space="preserve"> </w:t>
      </w:r>
      <w:r w:rsidRPr="00052A7C">
        <w:t>средняя доза препарата составляет 20-40 МЕ/кг массы тела с интервалом введения каждые 2-3 дня.</w:t>
      </w:r>
      <w:r w:rsidRPr="00332BF6">
        <w:t xml:space="preserve"> </w:t>
      </w:r>
      <w:r w:rsidRPr="00052A7C">
        <w:t>В некоторых случаях, особенно у более молодых пациентов, могут потребоваться более короткие интервалы дозирования или более высокие дозы препарата.</w:t>
      </w:r>
    </w:p>
    <w:p w:rsidR="00DB1388" w:rsidRDefault="00DB1388" w:rsidP="00DB1388">
      <w:pPr>
        <w:contextualSpacing/>
        <w:jc w:val="both"/>
      </w:pPr>
    </w:p>
    <w:p w:rsidR="00DB1388" w:rsidRPr="00661171" w:rsidRDefault="00DB1388" w:rsidP="00DB1388">
      <w:pPr>
        <w:spacing w:before="120" w:after="120"/>
        <w:contextualSpacing/>
        <w:jc w:val="both"/>
        <w:rPr>
          <w:b/>
          <w:bCs/>
        </w:rPr>
      </w:pPr>
      <w:r w:rsidRPr="00661171">
        <w:rPr>
          <w:b/>
          <w:bCs/>
        </w:rPr>
        <w:lastRenderedPageBreak/>
        <w:t>Особые группы пациентов</w:t>
      </w:r>
    </w:p>
    <w:p w:rsidR="00DB1388" w:rsidRPr="00661171" w:rsidRDefault="00DB1388" w:rsidP="00DB1388">
      <w:pPr>
        <w:contextualSpacing/>
        <w:jc w:val="both"/>
        <w:rPr>
          <w:bCs/>
          <w:i/>
          <w:iCs/>
        </w:rPr>
      </w:pPr>
      <w:r w:rsidRPr="00661171">
        <w:rPr>
          <w:bCs/>
          <w:i/>
          <w:iCs/>
        </w:rPr>
        <w:t>Дети от 12 до 18 лет</w:t>
      </w:r>
    </w:p>
    <w:p w:rsidR="00DB1388" w:rsidRPr="00661171" w:rsidRDefault="00DB1388" w:rsidP="00DB1388">
      <w:pPr>
        <w:tabs>
          <w:tab w:val="left" w:pos="567"/>
        </w:tabs>
        <w:contextualSpacing/>
        <w:jc w:val="both"/>
        <w:rPr>
          <w:strike/>
        </w:rPr>
      </w:pPr>
      <w:r w:rsidRPr="00661171">
        <w:t xml:space="preserve">У детей в возрасте от 12 до 18 лет </w:t>
      </w:r>
      <w:proofErr w:type="spellStart"/>
      <w:r w:rsidRPr="00661171">
        <w:t>мороктоког</w:t>
      </w:r>
      <w:proofErr w:type="spellEnd"/>
      <w:r w:rsidRPr="00661171">
        <w:t xml:space="preserve"> альфа применялся для профилактики кровотечений в дозах 30-40 МЕ/кг, которые аналогичны дозам взрослых пациентов. </w:t>
      </w:r>
    </w:p>
    <w:p w:rsidR="00DB1388" w:rsidRPr="00661171" w:rsidRDefault="00DB1388" w:rsidP="00DB1388">
      <w:pPr>
        <w:tabs>
          <w:tab w:val="left" w:pos="567"/>
        </w:tabs>
        <w:contextualSpacing/>
        <w:jc w:val="both"/>
      </w:pPr>
      <w:r w:rsidRPr="00661171">
        <w:t>В некоторых ситуациях может потребоваться сокращение интервалов между введениями или повышение дозы препарата.</w:t>
      </w:r>
    </w:p>
    <w:p w:rsidR="00DB1388" w:rsidRPr="00661171" w:rsidRDefault="00DB1388" w:rsidP="00DB1388">
      <w:pPr>
        <w:tabs>
          <w:tab w:val="left" w:pos="567"/>
        </w:tabs>
        <w:contextualSpacing/>
        <w:jc w:val="both"/>
        <w:rPr>
          <w:i/>
        </w:rPr>
      </w:pPr>
      <w:r w:rsidRPr="00661171">
        <w:rPr>
          <w:i/>
        </w:rPr>
        <w:t>Дети от 6 до 12 лет</w:t>
      </w:r>
    </w:p>
    <w:p w:rsidR="00DB1388" w:rsidRPr="00661171" w:rsidRDefault="00DB1388" w:rsidP="00DB1388">
      <w:pPr>
        <w:tabs>
          <w:tab w:val="left" w:pos="567"/>
        </w:tabs>
        <w:contextualSpacing/>
        <w:jc w:val="both"/>
      </w:pPr>
      <w:r w:rsidRPr="00661171">
        <w:t xml:space="preserve">Существует вероятность повышенной потребности в препарате </w:t>
      </w:r>
      <w:proofErr w:type="spellStart"/>
      <w:r w:rsidRPr="00661171">
        <w:t>Октоклотин</w:t>
      </w:r>
      <w:proofErr w:type="spellEnd"/>
      <w:r w:rsidRPr="00661171">
        <w:t xml:space="preserve"> у детей. В </w:t>
      </w:r>
      <w:proofErr w:type="gramStart"/>
      <w:r w:rsidRPr="00661171">
        <w:t>исследовании</w:t>
      </w:r>
      <w:proofErr w:type="gramEnd"/>
      <w:r w:rsidRPr="00661171">
        <w:t xml:space="preserve"> по применению </w:t>
      </w:r>
      <w:proofErr w:type="spellStart"/>
      <w:r w:rsidRPr="00661171">
        <w:t>мороктокога</w:t>
      </w:r>
      <w:proofErr w:type="spellEnd"/>
      <w:r w:rsidRPr="00661171">
        <w:t xml:space="preserve"> альфа у детей 6-12 лет значения периода полувыведения и степени восстановления активности препарата были меньше, по сравнению с данными показателями у подростков и взрослых. В ходе клинического исследования по долгосрочной профилактике кровотечений у детей от 6 до 12 лет средняя разовая доза </w:t>
      </w:r>
      <w:proofErr w:type="spellStart"/>
      <w:r w:rsidRPr="00661171">
        <w:t>мороктокога</w:t>
      </w:r>
      <w:proofErr w:type="spellEnd"/>
      <w:r w:rsidRPr="00661171">
        <w:t xml:space="preserve"> альфа составила 39.12±7.79 МЕ/кг с режимом введения 2-3 раза в неделю. На фоне профилактического лечения медиана числа кровотечений составила 3 эпизода кровотечений за 6 месяцев наблюдения. В некоторых ситуациях может потребоваться сокращение интервалов между введениями или повышение дозы препарата.</w:t>
      </w:r>
    </w:p>
    <w:p w:rsidR="00DB1388" w:rsidRPr="00661171" w:rsidRDefault="00DB1388" w:rsidP="00DB1388">
      <w:pPr>
        <w:tabs>
          <w:tab w:val="left" w:pos="567"/>
        </w:tabs>
        <w:contextualSpacing/>
        <w:jc w:val="both"/>
        <w:rPr>
          <w:i/>
        </w:rPr>
      </w:pPr>
      <w:r w:rsidRPr="00661171">
        <w:rPr>
          <w:i/>
        </w:rPr>
        <w:t>Дети до 6 лет</w:t>
      </w:r>
    </w:p>
    <w:p w:rsidR="00DB1388" w:rsidRPr="00661171" w:rsidRDefault="00DB1388" w:rsidP="00DB1388">
      <w:pPr>
        <w:tabs>
          <w:tab w:val="left" w:pos="567"/>
        </w:tabs>
        <w:contextualSpacing/>
        <w:jc w:val="both"/>
      </w:pPr>
      <w:r w:rsidRPr="00661171">
        <w:t xml:space="preserve">Отсутствует достаточный опыт применения </w:t>
      </w:r>
      <w:proofErr w:type="spellStart"/>
      <w:r w:rsidRPr="00661171">
        <w:t>мороктокога</w:t>
      </w:r>
      <w:proofErr w:type="spellEnd"/>
      <w:r w:rsidRPr="00661171">
        <w:t xml:space="preserve"> альфа у детей младше 6 лет.</w:t>
      </w:r>
    </w:p>
    <w:p w:rsidR="00DB1388" w:rsidRPr="00661171" w:rsidRDefault="00DB1388" w:rsidP="00DB1388">
      <w:pPr>
        <w:tabs>
          <w:tab w:val="left" w:pos="567"/>
        </w:tabs>
        <w:contextualSpacing/>
        <w:jc w:val="both"/>
        <w:rPr>
          <w:i/>
          <w:lang w:bidi="ru-RU"/>
        </w:rPr>
      </w:pPr>
      <w:r w:rsidRPr="00661171">
        <w:rPr>
          <w:i/>
          <w:lang w:bidi="ru-RU"/>
        </w:rPr>
        <w:t>Пациенты пожилого возраста</w:t>
      </w:r>
    </w:p>
    <w:p w:rsidR="00DB1388" w:rsidRDefault="00DB1388" w:rsidP="00DB1388">
      <w:pPr>
        <w:contextualSpacing/>
        <w:jc w:val="both"/>
        <w:rPr>
          <w:lang w:bidi="ru-RU"/>
        </w:rPr>
      </w:pPr>
      <w:r w:rsidRPr="00661171">
        <w:rPr>
          <w:lang w:bidi="ru-RU"/>
        </w:rPr>
        <w:t>Клинические исследования не включали пациентов в возрасте 65 лет и старше. Дозу у пожилых пациентов следует подбирать индивидуально.</w:t>
      </w:r>
    </w:p>
    <w:p w:rsidR="00DB1388" w:rsidRPr="00661171" w:rsidRDefault="00DB1388" w:rsidP="00DB1388">
      <w:pPr>
        <w:contextualSpacing/>
        <w:jc w:val="both"/>
      </w:pPr>
    </w:p>
    <w:p w:rsidR="00DB1388" w:rsidRPr="00052A7C" w:rsidRDefault="00DB1388" w:rsidP="00DB1388">
      <w:pPr>
        <w:pStyle w:val="a4"/>
        <w:contextualSpacing/>
        <w:jc w:val="both"/>
        <w:rPr>
          <w:rFonts w:ascii="Times New Roman" w:hAnsi="Times New Roman"/>
          <w:sz w:val="24"/>
          <w:szCs w:val="24"/>
          <w:u w:val="single"/>
          <w:lang w:bidi="ru-RU"/>
        </w:rPr>
      </w:pPr>
      <w:r w:rsidRPr="00052A7C">
        <w:rPr>
          <w:rFonts w:ascii="Times New Roman" w:hAnsi="Times New Roman"/>
          <w:b/>
          <w:bCs/>
          <w:sz w:val="24"/>
          <w:szCs w:val="24"/>
          <w:lang w:bidi="ru-RU"/>
        </w:rPr>
        <w:t>Способ применения</w:t>
      </w:r>
    </w:p>
    <w:p w:rsidR="00DB1388" w:rsidRPr="00052A7C" w:rsidRDefault="00DB1388" w:rsidP="00DB1388">
      <w:pPr>
        <w:pStyle w:val="a4"/>
        <w:contextualSpacing/>
        <w:jc w:val="both"/>
        <w:rPr>
          <w:rFonts w:ascii="Times New Roman" w:hAnsi="Times New Roman"/>
          <w:sz w:val="24"/>
          <w:szCs w:val="24"/>
        </w:rPr>
      </w:pPr>
      <w:proofErr w:type="spellStart"/>
      <w:r w:rsidRPr="00052A7C">
        <w:rPr>
          <w:rFonts w:ascii="Times New Roman" w:hAnsi="Times New Roman"/>
          <w:sz w:val="24"/>
          <w:szCs w:val="24"/>
        </w:rPr>
        <w:t>Октоклотин</w:t>
      </w:r>
      <w:proofErr w:type="spellEnd"/>
      <w:r w:rsidRPr="00052A7C">
        <w:rPr>
          <w:rFonts w:ascii="Times New Roman" w:hAnsi="Times New Roman"/>
          <w:sz w:val="24"/>
          <w:szCs w:val="24"/>
        </w:rPr>
        <w:t xml:space="preserve"> вводится внутривенно </w:t>
      </w:r>
      <w:proofErr w:type="spellStart"/>
      <w:r w:rsidRPr="00052A7C">
        <w:rPr>
          <w:rFonts w:ascii="Times New Roman" w:hAnsi="Times New Roman"/>
          <w:sz w:val="24"/>
          <w:szCs w:val="24"/>
        </w:rPr>
        <w:t>струйно</w:t>
      </w:r>
      <w:proofErr w:type="spellEnd"/>
      <w:r w:rsidRPr="00052A7C">
        <w:rPr>
          <w:rFonts w:ascii="Times New Roman" w:hAnsi="Times New Roman"/>
          <w:sz w:val="24"/>
          <w:szCs w:val="24"/>
        </w:rPr>
        <w:t xml:space="preserve"> медленно в течение 2-5 минут, после разведения </w:t>
      </w:r>
      <w:proofErr w:type="spellStart"/>
      <w:r w:rsidRPr="00052A7C">
        <w:rPr>
          <w:rFonts w:ascii="Times New Roman" w:hAnsi="Times New Roman"/>
          <w:sz w:val="24"/>
          <w:szCs w:val="24"/>
        </w:rPr>
        <w:t>лиофилизата</w:t>
      </w:r>
      <w:proofErr w:type="spellEnd"/>
      <w:r w:rsidRPr="00052A7C">
        <w:rPr>
          <w:rFonts w:ascii="Times New Roman" w:hAnsi="Times New Roman"/>
          <w:sz w:val="24"/>
          <w:szCs w:val="24"/>
        </w:rPr>
        <w:t xml:space="preserve"> прилагаемым растворителем (натрия хлорида раствор 0.9% для инъекций).</w:t>
      </w:r>
      <w:r>
        <w:rPr>
          <w:rFonts w:ascii="Times New Roman" w:hAnsi="Times New Roman"/>
          <w:sz w:val="24"/>
          <w:szCs w:val="24"/>
        </w:rPr>
        <w:t xml:space="preserve"> </w:t>
      </w:r>
      <w:r w:rsidRPr="00052A7C">
        <w:rPr>
          <w:rFonts w:ascii="Times New Roman" w:hAnsi="Times New Roman"/>
          <w:sz w:val="24"/>
          <w:szCs w:val="24"/>
        </w:rPr>
        <w:t>Скорость введения определяется переносимостью</w:t>
      </w:r>
      <w:r w:rsidRPr="00332BF6">
        <w:rPr>
          <w:rFonts w:ascii="Times New Roman" w:hAnsi="Times New Roman"/>
          <w:sz w:val="24"/>
          <w:szCs w:val="24"/>
        </w:rPr>
        <w:t xml:space="preserve"> </w:t>
      </w:r>
      <w:r w:rsidRPr="00052A7C">
        <w:rPr>
          <w:rFonts w:ascii="Times New Roman" w:hAnsi="Times New Roman"/>
          <w:sz w:val="24"/>
          <w:szCs w:val="24"/>
        </w:rPr>
        <w:t>пациента.</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 xml:space="preserve">Пациента или лицо, осуществляющее за ним уход, необходимо обучить технике внутривенного введения препарата </w:t>
      </w:r>
      <w:proofErr w:type="spellStart"/>
      <w:r w:rsidRPr="00052A7C">
        <w:rPr>
          <w:rFonts w:ascii="Times New Roman" w:hAnsi="Times New Roman"/>
          <w:sz w:val="24"/>
          <w:szCs w:val="24"/>
        </w:rPr>
        <w:t>Октоклотин</w:t>
      </w:r>
      <w:proofErr w:type="spellEnd"/>
      <w:r w:rsidRPr="00052A7C">
        <w:rPr>
          <w:rFonts w:ascii="Times New Roman" w:hAnsi="Times New Roman"/>
          <w:sz w:val="24"/>
          <w:szCs w:val="24"/>
        </w:rPr>
        <w:t>.</w:t>
      </w:r>
    </w:p>
    <w:p w:rsidR="00DB1388" w:rsidRPr="00052A7C" w:rsidRDefault="00DB1388" w:rsidP="00DB1388">
      <w:pPr>
        <w:pStyle w:val="a4"/>
        <w:contextualSpacing/>
        <w:jc w:val="both"/>
        <w:rPr>
          <w:rFonts w:ascii="Times New Roman" w:hAnsi="Times New Roman"/>
          <w:i/>
          <w:sz w:val="24"/>
          <w:szCs w:val="24"/>
        </w:rPr>
      </w:pPr>
      <w:r w:rsidRPr="00052A7C">
        <w:rPr>
          <w:rFonts w:ascii="Times New Roman" w:hAnsi="Times New Roman"/>
          <w:i/>
          <w:sz w:val="24"/>
          <w:szCs w:val="24"/>
        </w:rPr>
        <w:t>Правила приготовления раствора для внутривенного введения и его применение</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Перед приготовлением раствора для внутривенного введения необходимо тщательно вымыть руки и соблюдать правила асептики в процессе приготовления и введения раствора препарата.</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Открытые медицинские материалы необходимо использовать, по</w:t>
      </w:r>
      <w:r>
        <w:rPr>
          <w:rFonts w:ascii="Times New Roman" w:hAnsi="Times New Roman"/>
          <w:sz w:val="24"/>
          <w:szCs w:val="24"/>
        </w:rPr>
        <w:t xml:space="preserve"> </w:t>
      </w:r>
      <w:r w:rsidRPr="00052A7C">
        <w:rPr>
          <w:rFonts w:ascii="Times New Roman" w:hAnsi="Times New Roman"/>
          <w:sz w:val="24"/>
          <w:szCs w:val="24"/>
        </w:rPr>
        <w:t>возможности быстро, чтобы сократить до минимума время их контакта с атмосферным воздухом.</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Ниже представлен комплект расходных медицинских материалов для приготовления раствора для внутривенного введения:</w:t>
      </w:r>
    </w:p>
    <w:tbl>
      <w:tblPr>
        <w:tblW w:w="0" w:type="auto"/>
        <w:tblInd w:w="108" w:type="dxa"/>
        <w:tblLook w:val="04A0" w:firstRow="1" w:lastRow="0" w:firstColumn="1" w:lastColumn="0" w:noHBand="0" w:noVBand="1"/>
      </w:tblPr>
      <w:tblGrid>
        <w:gridCol w:w="4536"/>
        <w:gridCol w:w="4536"/>
      </w:tblGrid>
      <w:tr w:rsidR="00DB1388" w:rsidRPr="00052A7C" w:rsidTr="002149C4">
        <w:tc>
          <w:tcPr>
            <w:tcW w:w="4536" w:type="dxa"/>
            <w:shd w:val="clear" w:color="auto" w:fill="auto"/>
          </w:tcPr>
          <w:p w:rsidR="00DB1388" w:rsidRPr="00052A7C" w:rsidRDefault="00DB1388" w:rsidP="002149C4">
            <w:pPr>
              <w:jc w:val="both"/>
            </w:pPr>
            <w:r w:rsidRPr="00A7330F">
              <w:rPr>
                <w:noProof/>
              </w:rPr>
              <w:drawing>
                <wp:inline distT="0" distB="0" distL="0" distR="0">
                  <wp:extent cx="1371600" cy="1428750"/>
                  <wp:effectExtent l="0" t="0" r="0" b="0"/>
                  <wp:docPr id="13" name="Рисунок 13"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Users\Dmitriy\Desktop\Безымянный.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p w:rsidR="00DB1388" w:rsidRPr="00052A7C" w:rsidRDefault="00DB1388" w:rsidP="002149C4">
            <w:pPr>
              <w:jc w:val="both"/>
            </w:pPr>
            <w:r w:rsidRPr="00052A7C">
              <w:t xml:space="preserve">1 флакон с </w:t>
            </w:r>
            <w:proofErr w:type="spellStart"/>
            <w:r w:rsidRPr="00052A7C">
              <w:t>лиофилизатом</w:t>
            </w:r>
            <w:proofErr w:type="spellEnd"/>
            <w:r w:rsidRPr="00052A7C">
              <w:t xml:space="preserve"> (препарат </w:t>
            </w:r>
            <w:proofErr w:type="spellStart"/>
            <w:r w:rsidRPr="00052A7C">
              <w:t>Октоклотин</w:t>
            </w:r>
            <w:proofErr w:type="spellEnd"/>
            <w:r w:rsidRPr="00052A7C">
              <w:t>)</w:t>
            </w:r>
          </w:p>
        </w:tc>
        <w:tc>
          <w:tcPr>
            <w:tcW w:w="4536" w:type="dxa"/>
            <w:shd w:val="clear" w:color="auto" w:fill="auto"/>
            <w:vAlign w:val="center"/>
          </w:tcPr>
          <w:p w:rsidR="00DB1388" w:rsidRPr="00052A7C" w:rsidRDefault="00DB1388" w:rsidP="002149C4">
            <w:pPr>
              <w:jc w:val="both"/>
            </w:pPr>
            <w:r w:rsidRPr="00A7330F">
              <w:rPr>
                <w:noProof/>
              </w:rPr>
              <w:drawing>
                <wp:inline distT="0" distB="0" distL="0" distR="0">
                  <wp:extent cx="2200275" cy="15430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543050"/>
                          </a:xfrm>
                          <a:prstGeom prst="rect">
                            <a:avLst/>
                          </a:prstGeom>
                          <a:noFill/>
                          <a:ln>
                            <a:noFill/>
                          </a:ln>
                        </pic:spPr>
                      </pic:pic>
                    </a:graphicData>
                  </a:graphic>
                </wp:inline>
              </w:drawing>
            </w:r>
          </w:p>
          <w:p w:rsidR="00DB1388" w:rsidRPr="00052A7C" w:rsidRDefault="00DB1388" w:rsidP="002149C4">
            <w:pPr>
              <w:ind w:left="284"/>
              <w:jc w:val="both"/>
            </w:pPr>
            <w:r w:rsidRPr="00052A7C">
              <w:t>2 салфетки спиртовые</w:t>
            </w:r>
          </w:p>
        </w:tc>
      </w:tr>
      <w:tr w:rsidR="00DB1388" w:rsidRPr="00052A7C" w:rsidTr="002149C4">
        <w:tc>
          <w:tcPr>
            <w:tcW w:w="4536" w:type="dxa"/>
            <w:shd w:val="clear" w:color="auto" w:fill="auto"/>
          </w:tcPr>
          <w:p w:rsidR="00DB1388" w:rsidRPr="00D617DC" w:rsidRDefault="00DB1388" w:rsidP="002149C4">
            <w:pPr>
              <w:jc w:val="both"/>
              <w:rPr>
                <w:sz w:val="16"/>
                <w:szCs w:val="16"/>
              </w:rPr>
            </w:pPr>
            <w:r w:rsidRPr="00A7330F">
              <w:rPr>
                <w:noProof/>
              </w:rPr>
              <w:lastRenderedPageBreak/>
              <w:drawing>
                <wp:inline distT="0" distB="0" distL="0" distR="0">
                  <wp:extent cx="1524000" cy="1685925"/>
                  <wp:effectExtent l="0" t="0" r="0" b="9525"/>
                  <wp:docPr id="11" name="Рисунок 11"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C:\Users\Dmitriy\Desktop\Безымянный.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685925"/>
                          </a:xfrm>
                          <a:prstGeom prst="rect">
                            <a:avLst/>
                          </a:prstGeom>
                          <a:noFill/>
                          <a:ln>
                            <a:noFill/>
                          </a:ln>
                        </pic:spPr>
                      </pic:pic>
                    </a:graphicData>
                  </a:graphic>
                </wp:inline>
              </w:drawing>
            </w:r>
          </w:p>
          <w:p w:rsidR="00DB1388" w:rsidRPr="00052A7C" w:rsidRDefault="00DB1388" w:rsidP="002149C4">
            <w:pPr>
              <w:jc w:val="both"/>
            </w:pPr>
            <w:r w:rsidRPr="00052A7C">
              <w:t>1 флакон с растворителем (натрия хлорида раствор 0.9% для инъекций)</w:t>
            </w:r>
          </w:p>
        </w:tc>
        <w:tc>
          <w:tcPr>
            <w:tcW w:w="4536" w:type="dxa"/>
            <w:shd w:val="clear" w:color="auto" w:fill="auto"/>
            <w:vAlign w:val="center"/>
          </w:tcPr>
          <w:p w:rsidR="00DB1388" w:rsidRPr="00D617DC" w:rsidRDefault="00DB1388" w:rsidP="002149C4">
            <w:pPr>
              <w:ind w:left="284"/>
              <w:jc w:val="both"/>
              <w:rPr>
                <w:sz w:val="32"/>
                <w:szCs w:val="32"/>
              </w:rPr>
            </w:pPr>
            <w:r w:rsidRPr="00A7330F">
              <w:rPr>
                <w:noProof/>
              </w:rPr>
              <w:drawing>
                <wp:inline distT="0" distB="0" distL="0" distR="0">
                  <wp:extent cx="1800225" cy="13525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352550"/>
                          </a:xfrm>
                          <a:prstGeom prst="rect">
                            <a:avLst/>
                          </a:prstGeom>
                          <a:noFill/>
                          <a:ln>
                            <a:noFill/>
                          </a:ln>
                        </pic:spPr>
                      </pic:pic>
                    </a:graphicData>
                  </a:graphic>
                </wp:inline>
              </w:drawing>
            </w:r>
          </w:p>
          <w:p w:rsidR="00DB1388" w:rsidRPr="00D617DC" w:rsidRDefault="00DB1388" w:rsidP="002149C4">
            <w:pPr>
              <w:ind w:left="284"/>
              <w:jc w:val="both"/>
              <w:rPr>
                <w:sz w:val="16"/>
                <w:szCs w:val="16"/>
              </w:rPr>
            </w:pPr>
          </w:p>
          <w:p w:rsidR="00DB1388" w:rsidRPr="00052A7C" w:rsidRDefault="00DB1388" w:rsidP="002149C4">
            <w:pPr>
              <w:ind w:left="284"/>
              <w:jc w:val="both"/>
            </w:pPr>
            <w:r w:rsidRPr="00052A7C">
              <w:t xml:space="preserve">1 </w:t>
            </w:r>
            <w:r>
              <w:t>пластырь фиксирующий</w:t>
            </w:r>
          </w:p>
        </w:tc>
      </w:tr>
      <w:tr w:rsidR="00DB1388" w:rsidRPr="00052A7C" w:rsidTr="002149C4">
        <w:tc>
          <w:tcPr>
            <w:tcW w:w="4536" w:type="dxa"/>
            <w:shd w:val="clear" w:color="auto" w:fill="auto"/>
          </w:tcPr>
          <w:p w:rsidR="00DB1388" w:rsidRPr="00E717F2" w:rsidRDefault="00DB1388" w:rsidP="002149C4">
            <w:pPr>
              <w:jc w:val="both"/>
            </w:pPr>
            <w:r w:rsidRPr="00A7330F">
              <w:rPr>
                <w:noProof/>
              </w:rPr>
              <w:drawing>
                <wp:inline distT="0" distB="0" distL="0" distR="0">
                  <wp:extent cx="1695450" cy="1438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1438275"/>
                          </a:xfrm>
                          <a:prstGeom prst="rect">
                            <a:avLst/>
                          </a:prstGeom>
                          <a:noFill/>
                          <a:ln>
                            <a:noFill/>
                          </a:ln>
                        </pic:spPr>
                      </pic:pic>
                    </a:graphicData>
                  </a:graphic>
                </wp:inline>
              </w:drawing>
            </w:r>
          </w:p>
          <w:p w:rsidR="00DB1388" w:rsidRPr="00052A7C" w:rsidRDefault="00DB1388" w:rsidP="002149C4">
            <w:pPr>
              <w:jc w:val="both"/>
            </w:pPr>
            <w:r w:rsidRPr="00E717F2">
              <w:t xml:space="preserve">2 </w:t>
            </w:r>
            <w:proofErr w:type="gramStart"/>
            <w:r w:rsidRPr="00E717F2">
              <w:t>фильтр-канюли</w:t>
            </w:r>
            <w:proofErr w:type="gramEnd"/>
          </w:p>
        </w:tc>
        <w:tc>
          <w:tcPr>
            <w:tcW w:w="4536" w:type="dxa"/>
            <w:shd w:val="clear" w:color="auto" w:fill="auto"/>
            <w:vAlign w:val="center"/>
          </w:tcPr>
          <w:p w:rsidR="00DB1388" w:rsidRPr="00052A7C" w:rsidRDefault="00DB1388" w:rsidP="002149C4">
            <w:r w:rsidRPr="00A7330F">
              <w:rPr>
                <w:noProof/>
              </w:rPr>
              <w:drawing>
                <wp:inline distT="0" distB="0" distL="0" distR="0">
                  <wp:extent cx="2562225" cy="1038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1038225"/>
                          </a:xfrm>
                          <a:prstGeom prst="rect">
                            <a:avLst/>
                          </a:prstGeom>
                          <a:noFill/>
                          <a:ln>
                            <a:noFill/>
                          </a:ln>
                        </pic:spPr>
                      </pic:pic>
                    </a:graphicData>
                  </a:graphic>
                </wp:inline>
              </w:drawing>
            </w:r>
          </w:p>
          <w:p w:rsidR="00DB1388" w:rsidRPr="00052A7C" w:rsidRDefault="00DB1388" w:rsidP="002149C4">
            <w:pPr>
              <w:ind w:left="284"/>
              <w:jc w:val="both"/>
            </w:pPr>
            <w:r w:rsidRPr="00052A7C">
              <w:t>1 шприц с иглой или без иглы вместимостью 5 мл</w:t>
            </w:r>
          </w:p>
        </w:tc>
      </w:tr>
      <w:tr w:rsidR="00DB1388" w:rsidRPr="00052A7C" w:rsidTr="002149C4">
        <w:tc>
          <w:tcPr>
            <w:tcW w:w="4536" w:type="dxa"/>
            <w:shd w:val="clear" w:color="auto" w:fill="auto"/>
          </w:tcPr>
          <w:p w:rsidR="00DB1388" w:rsidRDefault="00DB1388" w:rsidP="002149C4">
            <w:pPr>
              <w:jc w:val="both"/>
              <w:rPr>
                <w:noProof/>
              </w:rPr>
            </w:pPr>
          </w:p>
          <w:p w:rsidR="00DB1388" w:rsidRPr="00C1196B" w:rsidRDefault="00DB1388" w:rsidP="002149C4">
            <w:pPr>
              <w:jc w:val="both"/>
              <w:rPr>
                <w:rFonts w:eastAsia="Calibri"/>
                <w:noProof/>
                <w:sz w:val="28"/>
                <w:szCs w:val="28"/>
              </w:rPr>
            </w:pPr>
            <w:r w:rsidRPr="00C1196B">
              <w:rPr>
                <w:rFonts w:eastAsia="Calibri"/>
                <w:noProof/>
                <w:sz w:val="28"/>
                <w:szCs w:val="28"/>
              </w:rPr>
              <w:drawing>
                <wp:inline distT="0" distB="0" distL="0" distR="0">
                  <wp:extent cx="1190625" cy="10096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1009650"/>
                          </a:xfrm>
                          <a:prstGeom prst="rect">
                            <a:avLst/>
                          </a:prstGeom>
                          <a:noFill/>
                          <a:ln>
                            <a:noFill/>
                          </a:ln>
                        </pic:spPr>
                      </pic:pic>
                    </a:graphicData>
                  </a:graphic>
                </wp:inline>
              </w:drawing>
            </w:r>
          </w:p>
          <w:p w:rsidR="00DB1388" w:rsidRDefault="00DB1388" w:rsidP="002149C4">
            <w:pPr>
              <w:jc w:val="center"/>
              <w:rPr>
                <w:noProof/>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1243330</wp:posOffset>
                      </wp:positionH>
                      <wp:positionV relativeFrom="paragraph">
                        <wp:posOffset>-613410</wp:posOffset>
                      </wp:positionV>
                      <wp:extent cx="525145" cy="563880"/>
                      <wp:effectExtent l="0" t="0" r="8255" b="7620"/>
                      <wp:wrapSquare wrapText="bothSides"/>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388" w:rsidRPr="001308DD" w:rsidRDefault="00DB1388" w:rsidP="00DB1388">
                                  <w:r w:rsidRPr="001308DD">
                                    <w:t>или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15" o:spid="_x0000_s1026" type="#_x0000_t202" style="position:absolute;left:0;text-align:left;margin-left:97.9pt;margin-top:-48.3pt;width:41.35pt;height:4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" stroked="f">
                      <v:textbox>
                        <w:txbxContent>
                          <w:p w:rsidR="00DB1388" w:rsidRPr="001308DD" w:rsidRDefault="00DB1388" w:rsidP="00DB1388">
                            <w:r w:rsidRPr="001308DD">
                              <w:t>или</w:t>
                            </w:r>
                          </w:p>
                        </w:txbxContent>
                      </v:textbox>
                      <w10:wrap type="square"/>
                    </v:shape>
                  </w:pict>
                </mc:Fallback>
              </mc:AlternateContent>
            </w:r>
            <w:r>
              <w:rPr>
                <w:noProof/>
              </w:rPr>
              <w:drawing>
                <wp:anchor distT="0" distB="0" distL="114300" distR="114300" simplePos="0" relativeHeight="251660288" behindDoc="0" locked="0" layoutInCell="1" allowOverlap="1">
                  <wp:simplePos x="0" y="0"/>
                  <wp:positionH relativeFrom="column">
                    <wp:posOffset>1753870</wp:posOffset>
                  </wp:positionH>
                  <wp:positionV relativeFrom="paragraph">
                    <wp:posOffset>-994410</wp:posOffset>
                  </wp:positionV>
                  <wp:extent cx="1254125" cy="1009650"/>
                  <wp:effectExtent l="0" t="0" r="3175" b="0"/>
                  <wp:wrapNone/>
                  <wp:docPr id="14" name="Рисунок 14" descr="C:\Users\Глашкин Алексей\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Глашкин Алексей\Desktop\unnam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412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196B">
              <w:rPr>
                <w:rFonts w:eastAsia="Calibri"/>
                <w:lang w:eastAsia="en-US"/>
              </w:rPr>
              <w:t>1 катетер</w:t>
            </w:r>
          </w:p>
          <w:p w:rsidR="00DB1388" w:rsidRPr="00052A7C" w:rsidRDefault="00DB1388" w:rsidP="002149C4">
            <w:pPr>
              <w:jc w:val="both"/>
            </w:pPr>
          </w:p>
        </w:tc>
        <w:tc>
          <w:tcPr>
            <w:tcW w:w="4536" w:type="dxa"/>
            <w:shd w:val="clear" w:color="auto" w:fill="auto"/>
          </w:tcPr>
          <w:p w:rsidR="00DB1388" w:rsidRPr="00052A7C" w:rsidRDefault="00DB1388" w:rsidP="002149C4">
            <w:pPr>
              <w:jc w:val="both"/>
            </w:pPr>
          </w:p>
        </w:tc>
      </w:tr>
    </w:tbl>
    <w:p w:rsidR="00DB1388" w:rsidRPr="005150AE" w:rsidRDefault="00DB1388" w:rsidP="00DB1388">
      <w:pPr>
        <w:pStyle w:val="a4"/>
        <w:contextualSpacing/>
        <w:rPr>
          <w:rFonts w:ascii="Times New Roman" w:hAnsi="Times New Roman"/>
          <w:sz w:val="18"/>
          <w:szCs w:val="18"/>
        </w:rPr>
      </w:pP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 xml:space="preserve">1. Необходимо извлечь из холодильника флакон с </w:t>
      </w:r>
      <w:proofErr w:type="spellStart"/>
      <w:r w:rsidRPr="00052A7C">
        <w:rPr>
          <w:rFonts w:ascii="Times New Roman" w:hAnsi="Times New Roman"/>
          <w:sz w:val="24"/>
          <w:szCs w:val="24"/>
        </w:rPr>
        <w:t>лиофилизатом</w:t>
      </w:r>
      <w:proofErr w:type="spellEnd"/>
      <w:r w:rsidRPr="00052A7C">
        <w:rPr>
          <w:rFonts w:ascii="Times New Roman" w:hAnsi="Times New Roman"/>
          <w:sz w:val="24"/>
          <w:szCs w:val="24"/>
        </w:rPr>
        <w:t xml:space="preserve"> и флакон с растворителем и дать им достичь комнатной температуры.</w:t>
      </w:r>
      <w:r w:rsidRPr="00FD75CD">
        <w:rPr>
          <w:rFonts w:ascii="Times New Roman" w:hAnsi="Times New Roman"/>
          <w:sz w:val="24"/>
          <w:szCs w:val="24"/>
        </w:rPr>
        <w:t xml:space="preserve"> </w:t>
      </w:r>
      <w:r w:rsidRPr="00052A7C">
        <w:rPr>
          <w:rFonts w:ascii="Times New Roman" w:hAnsi="Times New Roman"/>
          <w:sz w:val="24"/>
          <w:szCs w:val="24"/>
        </w:rPr>
        <w:t>Не допускается нагревани</w:t>
      </w:r>
      <w:r>
        <w:rPr>
          <w:rFonts w:ascii="Times New Roman" w:hAnsi="Times New Roman"/>
          <w:sz w:val="24"/>
          <w:szCs w:val="24"/>
        </w:rPr>
        <w:t>е</w:t>
      </w:r>
      <w:r w:rsidRPr="00052A7C">
        <w:rPr>
          <w:rFonts w:ascii="Times New Roman" w:hAnsi="Times New Roman"/>
          <w:sz w:val="24"/>
          <w:szCs w:val="24"/>
        </w:rPr>
        <w:t xml:space="preserve"> препарата выше 37°С.</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2. Поставьте оба флакона на чистую ровную поверхность.</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3. Снимите защитную пластиковую накладку с каждого флакона.</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4. Обработайте резиновые пробки флаконов салфеткой спиртовой. Дайте им высохнуть перед использованием. Не прикасайтесь руками или другими предметами к обработанным поверхностям пробок.</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 xml:space="preserve">5. Откройте блистерную упаковку </w:t>
      </w:r>
      <w:proofErr w:type="gramStart"/>
      <w:r>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xml:space="preserve">. Снимите защитный колпачок с иглы </w:t>
      </w:r>
      <w:proofErr w:type="gramStart"/>
      <w:r w:rsidRPr="002F1B17">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 xml:space="preserve">6. Введите пластиковую иглу </w:t>
      </w:r>
      <w:proofErr w:type="gramStart"/>
      <w:r w:rsidRPr="002F1B17">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xml:space="preserve"> вертикально в центр резиновой пробки флакона с растворителем до упора (рис. 1)</w:t>
      </w:r>
    </w:p>
    <w:p w:rsidR="00DB1388" w:rsidRPr="00052A7C" w:rsidRDefault="00DB1388" w:rsidP="00DB1388">
      <w:pPr>
        <w:pStyle w:val="a4"/>
        <w:contextualSpacing/>
        <w:jc w:val="center"/>
        <w:rPr>
          <w:rFonts w:ascii="Times New Roman" w:hAnsi="Times New Roman"/>
          <w:sz w:val="24"/>
          <w:szCs w:val="24"/>
        </w:rPr>
      </w:pPr>
      <w:r w:rsidRPr="009D511C">
        <w:rPr>
          <w:rFonts w:ascii="Times New Roman" w:hAnsi="Times New Roman"/>
          <w:noProof/>
          <w:sz w:val="28"/>
          <w:szCs w:val="28"/>
        </w:rPr>
        <w:drawing>
          <wp:inline distT="0" distB="0" distL="0" distR="0">
            <wp:extent cx="2600325" cy="1495425"/>
            <wp:effectExtent l="0" t="0" r="9525" b="9525"/>
            <wp:docPr id="6" name="Рисунок 6"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Users\Dmitriy\Desktop\Безымянный.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0325" cy="1495425"/>
                    </a:xfrm>
                    <a:prstGeom prst="rect">
                      <a:avLst/>
                    </a:prstGeom>
                    <a:noFill/>
                    <a:ln>
                      <a:noFill/>
                    </a:ln>
                  </pic:spPr>
                </pic:pic>
              </a:graphicData>
            </a:graphic>
          </wp:inline>
        </w:drawing>
      </w:r>
    </w:p>
    <w:p w:rsidR="00DB1388" w:rsidRPr="00052A7C" w:rsidRDefault="00DB1388" w:rsidP="00DB1388">
      <w:pPr>
        <w:pStyle w:val="a4"/>
        <w:contextualSpacing/>
        <w:jc w:val="center"/>
        <w:rPr>
          <w:rFonts w:ascii="Times New Roman" w:hAnsi="Times New Roman"/>
          <w:b/>
          <w:sz w:val="24"/>
          <w:szCs w:val="24"/>
        </w:rPr>
      </w:pPr>
      <w:r w:rsidRPr="00052A7C">
        <w:rPr>
          <w:rFonts w:ascii="Times New Roman" w:hAnsi="Times New Roman"/>
          <w:b/>
          <w:sz w:val="24"/>
          <w:szCs w:val="24"/>
        </w:rPr>
        <w:t>Рисунок 1</w:t>
      </w:r>
    </w:p>
    <w:p w:rsidR="00DB1388" w:rsidRPr="00052A7C" w:rsidRDefault="00DB1388" w:rsidP="00DB1388">
      <w:pPr>
        <w:pStyle w:val="a4"/>
        <w:contextualSpacing/>
        <w:jc w:val="both"/>
        <w:rPr>
          <w:rFonts w:ascii="Times New Roman" w:hAnsi="Times New Roman"/>
          <w:b/>
          <w:sz w:val="24"/>
          <w:szCs w:val="24"/>
        </w:rPr>
      </w:pPr>
    </w:p>
    <w:p w:rsidR="00DB1388" w:rsidRPr="005150AE" w:rsidRDefault="00DB1388" w:rsidP="00DB1388">
      <w:pPr>
        <w:pStyle w:val="a4"/>
        <w:contextualSpacing/>
        <w:jc w:val="both"/>
        <w:rPr>
          <w:rFonts w:ascii="Times New Roman" w:hAnsi="Times New Roman"/>
          <w:bCs/>
          <w:i/>
          <w:iCs/>
          <w:sz w:val="24"/>
          <w:szCs w:val="24"/>
        </w:rPr>
      </w:pPr>
      <w:r w:rsidRPr="00052A7C">
        <w:rPr>
          <w:rFonts w:ascii="Times New Roman" w:hAnsi="Times New Roman"/>
          <w:sz w:val="24"/>
          <w:szCs w:val="24"/>
        </w:rPr>
        <w:t xml:space="preserve">7. Откройте блистерную упаковку шприца, отогнув до середины бумажное покрытие, и вставьте шприц в отверстие </w:t>
      </w:r>
      <w:proofErr w:type="gramStart"/>
      <w:r>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открыв защитную крышечку (рис. 2).</w:t>
      </w:r>
      <w:r>
        <w:rPr>
          <w:rFonts w:ascii="Times New Roman" w:hAnsi="Times New Roman"/>
          <w:sz w:val="24"/>
          <w:szCs w:val="24"/>
        </w:rPr>
        <w:t xml:space="preserve"> </w:t>
      </w:r>
      <w:r w:rsidRPr="005150AE">
        <w:rPr>
          <w:rFonts w:ascii="Times New Roman" w:hAnsi="Times New Roman"/>
          <w:bCs/>
          <w:i/>
          <w:iCs/>
          <w:sz w:val="24"/>
          <w:szCs w:val="24"/>
        </w:rPr>
        <w:t>Убедитесь в плотности соединения.</w:t>
      </w:r>
    </w:p>
    <w:p w:rsidR="00DB1388" w:rsidRPr="00052A7C" w:rsidRDefault="00DB1388" w:rsidP="00DB1388">
      <w:pPr>
        <w:pStyle w:val="a4"/>
        <w:contextualSpacing/>
        <w:jc w:val="center"/>
        <w:rPr>
          <w:rFonts w:ascii="Times New Roman" w:hAnsi="Times New Roman"/>
          <w:sz w:val="24"/>
          <w:szCs w:val="24"/>
        </w:rPr>
      </w:pPr>
      <w:r w:rsidRPr="009D511C">
        <w:rPr>
          <w:rFonts w:ascii="Times New Roman" w:hAnsi="Times New Roman"/>
          <w:noProof/>
          <w:sz w:val="24"/>
          <w:szCs w:val="24"/>
        </w:rPr>
        <w:drawing>
          <wp:inline distT="0" distB="0" distL="0" distR="0">
            <wp:extent cx="2838450" cy="1543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0" cy="1543050"/>
                    </a:xfrm>
                    <a:prstGeom prst="rect">
                      <a:avLst/>
                    </a:prstGeom>
                    <a:noFill/>
                    <a:ln>
                      <a:noFill/>
                    </a:ln>
                  </pic:spPr>
                </pic:pic>
              </a:graphicData>
            </a:graphic>
          </wp:inline>
        </w:drawing>
      </w:r>
    </w:p>
    <w:p w:rsidR="00DB1388" w:rsidRPr="00052A7C" w:rsidRDefault="00DB1388" w:rsidP="00DB1388">
      <w:pPr>
        <w:pStyle w:val="a4"/>
        <w:contextualSpacing/>
        <w:jc w:val="center"/>
        <w:rPr>
          <w:rFonts w:ascii="Times New Roman" w:hAnsi="Times New Roman"/>
          <w:b/>
          <w:sz w:val="24"/>
          <w:szCs w:val="24"/>
        </w:rPr>
      </w:pPr>
      <w:r w:rsidRPr="00052A7C">
        <w:rPr>
          <w:rFonts w:ascii="Times New Roman" w:hAnsi="Times New Roman"/>
          <w:b/>
          <w:sz w:val="24"/>
          <w:szCs w:val="24"/>
        </w:rPr>
        <w:t>Рисунок 2</w:t>
      </w:r>
    </w:p>
    <w:p w:rsidR="00DB1388" w:rsidRDefault="00DB1388" w:rsidP="00DB1388">
      <w:pPr>
        <w:pStyle w:val="a4"/>
        <w:contextualSpacing/>
        <w:jc w:val="both"/>
        <w:rPr>
          <w:rFonts w:ascii="Times New Roman" w:hAnsi="Times New Roman"/>
          <w:sz w:val="24"/>
          <w:szCs w:val="24"/>
        </w:rPr>
      </w:pP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8. Переверните флакон вверх дном и отберите в шприц 4 мл растворителя, плавно оттягивая поршень.</w:t>
      </w:r>
      <w:r w:rsidRPr="00FD75CD">
        <w:rPr>
          <w:rFonts w:ascii="Times New Roman" w:hAnsi="Times New Roman"/>
          <w:sz w:val="24"/>
          <w:szCs w:val="24"/>
        </w:rPr>
        <w:t xml:space="preserve"> </w:t>
      </w:r>
      <w:r w:rsidRPr="00052A7C">
        <w:rPr>
          <w:rFonts w:ascii="Times New Roman" w:hAnsi="Times New Roman"/>
          <w:sz w:val="24"/>
          <w:szCs w:val="24"/>
        </w:rPr>
        <w:t xml:space="preserve">Не отсоединяйте наполненный шприц от </w:t>
      </w:r>
      <w:proofErr w:type="gramStart"/>
      <w:r>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 xml:space="preserve">9. Откройте блистерную упаковку второй </w:t>
      </w:r>
      <w:proofErr w:type="gramStart"/>
      <w:r w:rsidRPr="00622828">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xml:space="preserve">, снимите защитный колпачок с иглы и введите пластиковую иглу </w:t>
      </w:r>
      <w:r w:rsidRPr="002533AC">
        <w:rPr>
          <w:rFonts w:ascii="Times New Roman" w:hAnsi="Times New Roman"/>
          <w:sz w:val="24"/>
          <w:szCs w:val="24"/>
        </w:rPr>
        <w:t>фильтр-</w:t>
      </w:r>
      <w:r w:rsidRPr="00052A7C">
        <w:rPr>
          <w:rFonts w:ascii="Times New Roman" w:hAnsi="Times New Roman"/>
          <w:sz w:val="24"/>
          <w:szCs w:val="24"/>
        </w:rPr>
        <w:t>канюли в центр резиновой пробки флакона с препаратом, до упора, аналогично растворителю (см. пункт 6).</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 xml:space="preserve">10. Удалите наполненный шприц из первой </w:t>
      </w:r>
      <w:proofErr w:type="gramStart"/>
      <w:r w:rsidRPr="002533AC">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xml:space="preserve"> </w:t>
      </w:r>
      <w:r w:rsidRPr="0080430B">
        <w:rPr>
          <w:rFonts w:ascii="Times New Roman" w:hAnsi="Times New Roman"/>
          <w:sz w:val="24"/>
          <w:szCs w:val="24"/>
        </w:rPr>
        <w:t>(см. пункт 8),</w:t>
      </w:r>
      <w:r w:rsidRPr="00052A7C">
        <w:rPr>
          <w:rFonts w:ascii="Times New Roman" w:hAnsi="Times New Roman"/>
          <w:sz w:val="24"/>
          <w:szCs w:val="24"/>
        </w:rPr>
        <w:t xml:space="preserve"> оставляя переходник в пробке флакона с остатком растворителя. Следите за тем, чтобы кончик шприца не соприкасался с рукой или другими предметами.</w:t>
      </w:r>
    </w:p>
    <w:p w:rsidR="00DB1388" w:rsidRPr="00052A7C" w:rsidRDefault="00DB1388" w:rsidP="00DB1388">
      <w:pPr>
        <w:pStyle w:val="a4"/>
        <w:contextualSpacing/>
        <w:jc w:val="both"/>
        <w:rPr>
          <w:rFonts w:ascii="Times New Roman" w:hAnsi="Times New Roman"/>
          <w:i/>
          <w:sz w:val="24"/>
          <w:szCs w:val="24"/>
        </w:rPr>
      </w:pPr>
      <w:r w:rsidRPr="00052A7C">
        <w:rPr>
          <w:rFonts w:ascii="Times New Roman" w:hAnsi="Times New Roman"/>
          <w:sz w:val="24"/>
          <w:szCs w:val="24"/>
        </w:rPr>
        <w:t xml:space="preserve">11. Вставьте наполненный шприц с растворителем во вторую </w:t>
      </w:r>
      <w:r w:rsidRPr="00373CCA">
        <w:rPr>
          <w:rFonts w:ascii="Times New Roman" w:hAnsi="Times New Roman"/>
          <w:sz w:val="24"/>
          <w:szCs w:val="24"/>
        </w:rPr>
        <w:t>фильтр-</w:t>
      </w:r>
      <w:r w:rsidRPr="00052A7C">
        <w:rPr>
          <w:rFonts w:ascii="Times New Roman" w:hAnsi="Times New Roman"/>
          <w:sz w:val="24"/>
          <w:szCs w:val="24"/>
        </w:rPr>
        <w:t>канюлю, установленную на флаконе с препаратом, открыв защитную крышечку.</w:t>
      </w:r>
      <w:r w:rsidRPr="00FD75CD">
        <w:rPr>
          <w:rFonts w:ascii="Times New Roman" w:hAnsi="Times New Roman"/>
          <w:sz w:val="24"/>
          <w:szCs w:val="24"/>
        </w:rPr>
        <w:t xml:space="preserve"> </w:t>
      </w:r>
      <w:r w:rsidRPr="00052A7C">
        <w:rPr>
          <w:rFonts w:ascii="Times New Roman" w:hAnsi="Times New Roman"/>
          <w:i/>
          <w:sz w:val="24"/>
          <w:szCs w:val="24"/>
        </w:rPr>
        <w:t>Убедитесь в плотности соединения.</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 xml:space="preserve">12. Осторожно нажимая на </w:t>
      </w:r>
      <w:proofErr w:type="gramStart"/>
      <w:r w:rsidRPr="00052A7C">
        <w:rPr>
          <w:rFonts w:ascii="Times New Roman" w:hAnsi="Times New Roman"/>
          <w:sz w:val="24"/>
          <w:szCs w:val="24"/>
        </w:rPr>
        <w:t>стержень поршня и слегка наклоняя</w:t>
      </w:r>
      <w:proofErr w:type="gramEnd"/>
      <w:r w:rsidRPr="00052A7C">
        <w:rPr>
          <w:rFonts w:ascii="Times New Roman" w:hAnsi="Times New Roman"/>
          <w:sz w:val="24"/>
          <w:szCs w:val="24"/>
        </w:rPr>
        <w:t xml:space="preserve"> флакон с препаратом, медленно введите 4 мл растворителя по стенке флакона через </w:t>
      </w:r>
      <w:r w:rsidRPr="00373CCA">
        <w:rPr>
          <w:rFonts w:ascii="Times New Roman" w:hAnsi="Times New Roman"/>
          <w:sz w:val="24"/>
          <w:szCs w:val="24"/>
        </w:rPr>
        <w:t>фильтр-</w:t>
      </w:r>
      <w:r w:rsidRPr="00052A7C">
        <w:rPr>
          <w:rFonts w:ascii="Times New Roman" w:hAnsi="Times New Roman"/>
          <w:sz w:val="24"/>
          <w:szCs w:val="24"/>
        </w:rPr>
        <w:t xml:space="preserve">канюлю. Не отсоединяйте шприц от </w:t>
      </w:r>
      <w:proofErr w:type="gramStart"/>
      <w:r w:rsidRPr="00373CCA">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w:t>
      </w:r>
      <w:r w:rsidRPr="00FD75CD">
        <w:rPr>
          <w:rFonts w:ascii="Times New Roman" w:hAnsi="Times New Roman"/>
          <w:sz w:val="24"/>
          <w:szCs w:val="24"/>
        </w:rPr>
        <w:t xml:space="preserve"> </w:t>
      </w:r>
      <w:r w:rsidRPr="00052A7C">
        <w:rPr>
          <w:rFonts w:ascii="Times New Roman" w:hAnsi="Times New Roman"/>
          <w:sz w:val="24"/>
          <w:szCs w:val="24"/>
        </w:rPr>
        <w:t xml:space="preserve">Эффект «вспенивания» появляется, если растворитель попадает непосредственно на </w:t>
      </w:r>
      <w:proofErr w:type="spellStart"/>
      <w:r w:rsidRPr="00052A7C">
        <w:rPr>
          <w:rFonts w:ascii="Times New Roman" w:hAnsi="Times New Roman"/>
          <w:sz w:val="24"/>
          <w:szCs w:val="24"/>
        </w:rPr>
        <w:t>лиофилизат</w:t>
      </w:r>
      <w:proofErr w:type="spellEnd"/>
      <w:r w:rsidRPr="00052A7C">
        <w:rPr>
          <w:rFonts w:ascii="Times New Roman" w:hAnsi="Times New Roman"/>
          <w:sz w:val="24"/>
          <w:szCs w:val="24"/>
        </w:rPr>
        <w:t>.</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 xml:space="preserve">13. Осторожно покачивайте флакон круговыми движениями, пока весь </w:t>
      </w:r>
      <w:proofErr w:type="spellStart"/>
      <w:r w:rsidRPr="00052A7C">
        <w:rPr>
          <w:rFonts w:ascii="Times New Roman" w:hAnsi="Times New Roman"/>
          <w:sz w:val="24"/>
          <w:szCs w:val="24"/>
        </w:rPr>
        <w:t>лиофилизат</w:t>
      </w:r>
      <w:proofErr w:type="spellEnd"/>
      <w:r w:rsidRPr="00052A7C">
        <w:rPr>
          <w:rFonts w:ascii="Times New Roman" w:hAnsi="Times New Roman"/>
          <w:sz w:val="24"/>
          <w:szCs w:val="24"/>
        </w:rPr>
        <w:t xml:space="preserve"> не растворится (рис. 3). </w:t>
      </w:r>
      <w:r w:rsidRPr="00052A7C">
        <w:rPr>
          <w:rFonts w:ascii="Times New Roman" w:hAnsi="Times New Roman"/>
          <w:i/>
          <w:sz w:val="24"/>
          <w:szCs w:val="24"/>
        </w:rPr>
        <w:t>Не встряхивайте флакон.</w:t>
      </w:r>
      <w:r w:rsidRPr="00052A7C">
        <w:rPr>
          <w:rFonts w:ascii="Times New Roman" w:hAnsi="Times New Roman"/>
          <w:sz w:val="24"/>
          <w:szCs w:val="24"/>
        </w:rPr>
        <w:t xml:space="preserve"> Убедитесь в том, что </w:t>
      </w:r>
      <w:proofErr w:type="spellStart"/>
      <w:r w:rsidRPr="00052A7C">
        <w:rPr>
          <w:rFonts w:ascii="Times New Roman" w:hAnsi="Times New Roman"/>
          <w:sz w:val="24"/>
          <w:szCs w:val="24"/>
        </w:rPr>
        <w:t>лиофилизат</w:t>
      </w:r>
      <w:proofErr w:type="spellEnd"/>
      <w:r w:rsidRPr="00052A7C">
        <w:rPr>
          <w:rFonts w:ascii="Times New Roman" w:hAnsi="Times New Roman"/>
          <w:sz w:val="24"/>
          <w:szCs w:val="24"/>
        </w:rPr>
        <w:t xml:space="preserve"> полностью растворился. При наличии любых включений или мутности не используйте приготовленный раствор.</w:t>
      </w:r>
    </w:p>
    <w:p w:rsidR="00DB1388" w:rsidRPr="00052A7C" w:rsidRDefault="00DB1388" w:rsidP="00DB1388">
      <w:pPr>
        <w:pStyle w:val="a4"/>
        <w:contextualSpacing/>
        <w:jc w:val="center"/>
        <w:rPr>
          <w:rFonts w:ascii="Times New Roman" w:hAnsi="Times New Roman"/>
          <w:sz w:val="24"/>
          <w:szCs w:val="24"/>
        </w:rPr>
      </w:pPr>
      <w:r w:rsidRPr="009D511C">
        <w:rPr>
          <w:rFonts w:ascii="Times New Roman" w:hAnsi="Times New Roman"/>
          <w:noProof/>
          <w:sz w:val="24"/>
          <w:szCs w:val="24"/>
        </w:rPr>
        <w:drawing>
          <wp:inline distT="0" distB="0" distL="0" distR="0">
            <wp:extent cx="2581275" cy="1704975"/>
            <wp:effectExtent l="0" t="0" r="9525" b="9525"/>
            <wp:docPr id="4" name="Рисунок 4"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C:\Users\Dmitriy\Desktop\Безымянный.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1275" cy="1704975"/>
                    </a:xfrm>
                    <a:prstGeom prst="rect">
                      <a:avLst/>
                    </a:prstGeom>
                    <a:noFill/>
                    <a:ln>
                      <a:noFill/>
                    </a:ln>
                  </pic:spPr>
                </pic:pic>
              </a:graphicData>
            </a:graphic>
          </wp:inline>
        </w:drawing>
      </w:r>
    </w:p>
    <w:p w:rsidR="00DB1388" w:rsidRPr="00052A7C" w:rsidRDefault="00DB1388" w:rsidP="00DB1388">
      <w:pPr>
        <w:pStyle w:val="a4"/>
        <w:contextualSpacing/>
        <w:jc w:val="center"/>
        <w:rPr>
          <w:rFonts w:ascii="Times New Roman" w:hAnsi="Times New Roman"/>
          <w:b/>
          <w:sz w:val="24"/>
          <w:szCs w:val="24"/>
        </w:rPr>
      </w:pPr>
      <w:r w:rsidRPr="00052A7C">
        <w:rPr>
          <w:rFonts w:ascii="Times New Roman" w:hAnsi="Times New Roman"/>
          <w:b/>
          <w:sz w:val="24"/>
          <w:szCs w:val="24"/>
        </w:rPr>
        <w:t>Рисунок 3</w:t>
      </w:r>
    </w:p>
    <w:p w:rsidR="00DB1388"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14. Держа флакон в слегка наклоненном положении, отберите из него весь раствор в шприц через</w:t>
      </w:r>
      <w:r w:rsidRPr="00373CCA">
        <w:rPr>
          <w:rFonts w:ascii="Times New Roman" w:hAnsi="Times New Roman"/>
          <w:sz w:val="24"/>
          <w:szCs w:val="24"/>
        </w:rPr>
        <w:t xml:space="preserve"> фильтр-</w:t>
      </w:r>
      <w:r w:rsidRPr="00052A7C">
        <w:rPr>
          <w:rFonts w:ascii="Times New Roman" w:hAnsi="Times New Roman"/>
          <w:sz w:val="24"/>
          <w:szCs w:val="24"/>
        </w:rPr>
        <w:t xml:space="preserve">канюлю, медленно и плавно оттягивая поршень. Убедитесь в том, что весь приготовленный раствор перешел в шприц. Удалите воздух из шприца, перевернув флакон вверх дном (рис. 4). Не отсоединяйте наполненный шприц от </w:t>
      </w:r>
      <w:proofErr w:type="gramStart"/>
      <w:r w:rsidRPr="00373CCA">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xml:space="preserve">. Отложите флакон со шприцем и </w:t>
      </w:r>
      <w:proofErr w:type="gramStart"/>
      <w:r w:rsidRPr="00373CCA">
        <w:rPr>
          <w:rFonts w:ascii="Times New Roman" w:hAnsi="Times New Roman"/>
          <w:sz w:val="24"/>
          <w:szCs w:val="24"/>
        </w:rPr>
        <w:t>фильтр-</w:t>
      </w:r>
      <w:r w:rsidRPr="00052A7C">
        <w:rPr>
          <w:rFonts w:ascii="Times New Roman" w:hAnsi="Times New Roman"/>
          <w:sz w:val="24"/>
          <w:szCs w:val="24"/>
        </w:rPr>
        <w:t>канюлей</w:t>
      </w:r>
      <w:proofErr w:type="gramEnd"/>
      <w:r w:rsidRPr="00052A7C">
        <w:rPr>
          <w:rFonts w:ascii="Times New Roman" w:hAnsi="Times New Roman"/>
          <w:sz w:val="24"/>
          <w:szCs w:val="24"/>
        </w:rPr>
        <w:t xml:space="preserve"> до следующей манипуляции.</w:t>
      </w:r>
    </w:p>
    <w:p w:rsidR="00DB1388" w:rsidRDefault="00DB1388" w:rsidP="00DB1388">
      <w:pPr>
        <w:pStyle w:val="a4"/>
        <w:contextualSpacing/>
        <w:jc w:val="center"/>
        <w:rPr>
          <w:rFonts w:ascii="Times New Roman" w:hAnsi="Times New Roman"/>
          <w:sz w:val="24"/>
          <w:szCs w:val="24"/>
        </w:rPr>
      </w:pPr>
      <w:r w:rsidRPr="009D511C">
        <w:rPr>
          <w:rFonts w:ascii="Times New Roman" w:hAnsi="Times New Roman"/>
          <w:noProof/>
          <w:sz w:val="28"/>
          <w:szCs w:val="28"/>
        </w:rPr>
        <w:lastRenderedPageBreak/>
        <w:drawing>
          <wp:inline distT="0" distB="0" distL="0" distR="0">
            <wp:extent cx="2238375" cy="1647825"/>
            <wp:effectExtent l="0" t="0" r="9525" b="9525"/>
            <wp:docPr id="3" name="Рисунок 3"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Users\Dmitriy\Desktop\Безымянный.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8375" cy="1647825"/>
                    </a:xfrm>
                    <a:prstGeom prst="rect">
                      <a:avLst/>
                    </a:prstGeom>
                    <a:noFill/>
                    <a:ln>
                      <a:noFill/>
                    </a:ln>
                  </pic:spPr>
                </pic:pic>
              </a:graphicData>
            </a:graphic>
          </wp:inline>
        </w:drawing>
      </w:r>
    </w:p>
    <w:p w:rsidR="00DB1388" w:rsidRDefault="00DB1388" w:rsidP="00DB1388">
      <w:pPr>
        <w:pStyle w:val="a4"/>
        <w:contextualSpacing/>
        <w:jc w:val="center"/>
        <w:rPr>
          <w:rFonts w:ascii="Times New Roman" w:hAnsi="Times New Roman"/>
          <w:b/>
          <w:sz w:val="24"/>
          <w:szCs w:val="24"/>
        </w:rPr>
      </w:pPr>
      <w:r w:rsidRPr="00052A7C">
        <w:rPr>
          <w:rFonts w:ascii="Times New Roman" w:hAnsi="Times New Roman"/>
          <w:b/>
          <w:sz w:val="24"/>
          <w:szCs w:val="24"/>
        </w:rPr>
        <w:t>Рисунок 4</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15. Откройте блистерную упаковку катетера периферических вен.</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16. Не меняя положения поршня, извлеките наполненный шприц из</w:t>
      </w:r>
      <w:r w:rsidRPr="006D37C5">
        <w:rPr>
          <w:rFonts w:ascii="Times New Roman" w:hAnsi="Times New Roman"/>
          <w:sz w:val="24"/>
          <w:szCs w:val="24"/>
        </w:rPr>
        <w:t xml:space="preserve"> </w:t>
      </w:r>
      <w:proofErr w:type="gramStart"/>
      <w:r w:rsidRPr="006D37C5">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оставив переходник в пробке пустого флакона.</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 xml:space="preserve">17. Снимите защитную заглушку с трубки катетера. Вставьте наполненный шприц в открытую трубку катетера. </w:t>
      </w:r>
      <w:r w:rsidRPr="00052A7C">
        <w:rPr>
          <w:rFonts w:ascii="Times New Roman" w:hAnsi="Times New Roman"/>
          <w:i/>
          <w:sz w:val="24"/>
          <w:szCs w:val="24"/>
        </w:rPr>
        <w:t>Убедитесь в плотности соединения.</w:t>
      </w:r>
    </w:p>
    <w:p w:rsidR="00DB1388" w:rsidRPr="00052A7C" w:rsidRDefault="00DB1388" w:rsidP="00DB1388">
      <w:pPr>
        <w:pStyle w:val="a4"/>
        <w:contextualSpacing/>
        <w:jc w:val="both"/>
        <w:rPr>
          <w:rFonts w:ascii="Times New Roman" w:hAnsi="Times New Roman"/>
          <w:sz w:val="24"/>
          <w:szCs w:val="24"/>
        </w:rPr>
      </w:pPr>
      <w:r w:rsidRPr="00052A7C">
        <w:rPr>
          <w:rFonts w:ascii="Times New Roman" w:hAnsi="Times New Roman"/>
          <w:sz w:val="24"/>
          <w:szCs w:val="24"/>
        </w:rPr>
        <w:t>18. Обработайте место инъекции прилагаемой салфеткой спиртовой.</w:t>
      </w:r>
    </w:p>
    <w:p w:rsidR="00DB1388" w:rsidRPr="00885993" w:rsidRDefault="00DB1388" w:rsidP="00DB1388">
      <w:pPr>
        <w:pStyle w:val="a4"/>
        <w:contextualSpacing/>
        <w:jc w:val="both"/>
        <w:rPr>
          <w:rFonts w:ascii="Times New Roman" w:hAnsi="Times New Roman"/>
          <w:sz w:val="24"/>
          <w:szCs w:val="24"/>
        </w:rPr>
      </w:pPr>
      <w:r w:rsidRPr="00885993">
        <w:rPr>
          <w:rFonts w:ascii="Times New Roman" w:hAnsi="Times New Roman"/>
          <w:sz w:val="24"/>
          <w:szCs w:val="24"/>
        </w:rPr>
        <w:t xml:space="preserve">19. Снимите защитный колпачок с иглы катетера. Присоедините шприц к катетеру, провернув шприц по часовой стрелке до упора (рис. 5). </w:t>
      </w:r>
      <w:r w:rsidRPr="00885993">
        <w:rPr>
          <w:rFonts w:ascii="Times New Roman" w:hAnsi="Times New Roman"/>
          <w:i/>
          <w:sz w:val="24"/>
          <w:szCs w:val="24"/>
        </w:rPr>
        <w:t xml:space="preserve">Убедитесь в плотности соединения. </w:t>
      </w:r>
      <w:r w:rsidRPr="00885993">
        <w:rPr>
          <w:rFonts w:ascii="Times New Roman" w:hAnsi="Times New Roman"/>
          <w:sz w:val="24"/>
          <w:szCs w:val="24"/>
        </w:rPr>
        <w:t xml:space="preserve">Обработайте место инъекции прилагаемой салфеткой спиртовой. Удалите воздух из присоединенной системы для внутривенного введения и введите раствор внутривенно </w:t>
      </w:r>
      <w:proofErr w:type="spellStart"/>
      <w:r w:rsidRPr="00885993">
        <w:rPr>
          <w:rFonts w:ascii="Times New Roman" w:hAnsi="Times New Roman"/>
          <w:sz w:val="24"/>
          <w:szCs w:val="24"/>
        </w:rPr>
        <w:t>струйно</w:t>
      </w:r>
      <w:proofErr w:type="spellEnd"/>
      <w:r w:rsidRPr="00885993">
        <w:rPr>
          <w:rFonts w:ascii="Times New Roman" w:hAnsi="Times New Roman"/>
          <w:sz w:val="24"/>
          <w:szCs w:val="24"/>
        </w:rPr>
        <w:t xml:space="preserve"> медленно, закрепив иглу пластырем фиксирующим. Скорость введения определяется переносимостью лечения пациентом.</w:t>
      </w:r>
    </w:p>
    <w:p w:rsidR="00DB1388" w:rsidRPr="00885993" w:rsidRDefault="00DB1388" w:rsidP="00DB1388">
      <w:pPr>
        <w:pStyle w:val="a4"/>
        <w:contextualSpacing/>
        <w:jc w:val="both"/>
        <w:rPr>
          <w:rFonts w:ascii="Times New Roman" w:hAnsi="Times New Roman"/>
          <w:sz w:val="24"/>
          <w:szCs w:val="24"/>
        </w:rPr>
      </w:pPr>
    </w:p>
    <w:p w:rsidR="00DB1388" w:rsidRPr="00885993" w:rsidRDefault="00DB1388" w:rsidP="00DB1388">
      <w:pPr>
        <w:pStyle w:val="a4"/>
        <w:contextualSpacing/>
        <w:jc w:val="center"/>
        <w:rPr>
          <w:rFonts w:ascii="Times New Roman" w:hAnsi="Times New Roman"/>
          <w:sz w:val="24"/>
          <w:szCs w:val="24"/>
        </w:rPr>
      </w:pPr>
      <w:r w:rsidRPr="002D5EA9">
        <w:rPr>
          <w:rFonts w:ascii="Times New Roman" w:hAnsi="Times New Roman"/>
          <w:noProof/>
          <w:sz w:val="24"/>
          <w:szCs w:val="24"/>
        </w:rPr>
        <w:drawing>
          <wp:inline distT="0" distB="0" distL="0" distR="0">
            <wp:extent cx="1914525" cy="1590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4525" cy="1590675"/>
                    </a:xfrm>
                    <a:prstGeom prst="rect">
                      <a:avLst/>
                    </a:prstGeom>
                    <a:noFill/>
                    <a:ln>
                      <a:noFill/>
                    </a:ln>
                  </pic:spPr>
                </pic:pic>
              </a:graphicData>
            </a:graphic>
          </wp:inline>
        </w:drawing>
      </w:r>
    </w:p>
    <w:p w:rsidR="00DB1388" w:rsidRPr="00885993" w:rsidRDefault="00DB1388" w:rsidP="00DB1388">
      <w:pPr>
        <w:pStyle w:val="a4"/>
        <w:contextualSpacing/>
        <w:jc w:val="center"/>
        <w:rPr>
          <w:rFonts w:ascii="Times New Roman" w:hAnsi="Times New Roman"/>
          <w:b/>
          <w:sz w:val="24"/>
          <w:szCs w:val="24"/>
        </w:rPr>
      </w:pPr>
      <w:r w:rsidRPr="00885993">
        <w:rPr>
          <w:rFonts w:ascii="Times New Roman" w:hAnsi="Times New Roman"/>
          <w:b/>
          <w:sz w:val="24"/>
          <w:szCs w:val="24"/>
        </w:rPr>
        <w:t>Рисунок 5</w:t>
      </w:r>
    </w:p>
    <w:p w:rsidR="00DB1388" w:rsidRPr="00885993" w:rsidRDefault="00DB1388" w:rsidP="00DB1388">
      <w:pPr>
        <w:pStyle w:val="a4"/>
        <w:contextualSpacing/>
        <w:jc w:val="both"/>
        <w:rPr>
          <w:rFonts w:ascii="Times New Roman" w:hAnsi="Times New Roman"/>
          <w:sz w:val="24"/>
          <w:szCs w:val="24"/>
        </w:rPr>
      </w:pPr>
    </w:p>
    <w:p w:rsidR="00DB1388" w:rsidRPr="00885993" w:rsidRDefault="00DB1388" w:rsidP="00DB1388">
      <w:pPr>
        <w:pStyle w:val="a4"/>
        <w:contextualSpacing/>
        <w:jc w:val="both"/>
        <w:rPr>
          <w:rFonts w:ascii="Times New Roman" w:hAnsi="Times New Roman"/>
          <w:i/>
          <w:sz w:val="24"/>
          <w:szCs w:val="24"/>
        </w:rPr>
      </w:pPr>
      <w:r w:rsidRPr="00885993">
        <w:rPr>
          <w:rFonts w:ascii="Times New Roman" w:hAnsi="Times New Roman"/>
          <w:i/>
          <w:sz w:val="24"/>
          <w:szCs w:val="24"/>
        </w:rPr>
        <w:t xml:space="preserve">При использовании катетера для периферических вен второго типа, приведённого на рисунке 6: </w:t>
      </w:r>
    </w:p>
    <w:p w:rsidR="00DB1388" w:rsidRPr="00885993" w:rsidRDefault="00DB1388" w:rsidP="00DB1388">
      <w:pPr>
        <w:pStyle w:val="a4"/>
        <w:contextualSpacing/>
        <w:jc w:val="both"/>
        <w:rPr>
          <w:rFonts w:ascii="Times New Roman" w:hAnsi="Times New Roman"/>
          <w:sz w:val="24"/>
          <w:szCs w:val="24"/>
        </w:rPr>
      </w:pPr>
      <w:r w:rsidRPr="00885993">
        <w:rPr>
          <w:rFonts w:ascii="Times New Roman" w:hAnsi="Times New Roman"/>
          <w:sz w:val="24"/>
          <w:szCs w:val="24"/>
        </w:rPr>
        <w:t>20. Обработайте место инъекции прилагаемой салфеткой спиртовой.</w:t>
      </w:r>
    </w:p>
    <w:p w:rsidR="00DB1388" w:rsidRPr="00885993" w:rsidRDefault="00DB1388" w:rsidP="00DB1388">
      <w:pPr>
        <w:pStyle w:val="a4"/>
        <w:contextualSpacing/>
        <w:jc w:val="both"/>
        <w:rPr>
          <w:rFonts w:ascii="Times New Roman" w:hAnsi="Times New Roman"/>
          <w:sz w:val="24"/>
          <w:szCs w:val="24"/>
        </w:rPr>
      </w:pPr>
      <w:r w:rsidRPr="00885993">
        <w:rPr>
          <w:rFonts w:ascii="Times New Roman" w:hAnsi="Times New Roman"/>
          <w:sz w:val="24"/>
          <w:szCs w:val="24"/>
        </w:rPr>
        <w:t xml:space="preserve">21. В </w:t>
      </w:r>
      <w:proofErr w:type="gramStart"/>
      <w:r w:rsidRPr="00885993">
        <w:rPr>
          <w:rFonts w:ascii="Times New Roman" w:hAnsi="Times New Roman"/>
          <w:sz w:val="24"/>
          <w:szCs w:val="24"/>
        </w:rPr>
        <w:t>случае</w:t>
      </w:r>
      <w:proofErr w:type="gramEnd"/>
      <w:r w:rsidRPr="00885993">
        <w:rPr>
          <w:rFonts w:ascii="Times New Roman" w:hAnsi="Times New Roman"/>
          <w:sz w:val="24"/>
          <w:szCs w:val="24"/>
        </w:rPr>
        <w:t xml:space="preserve"> успешной пункции, во внутренней части прозрачного павильона должна появиться кровь.</w:t>
      </w:r>
    </w:p>
    <w:p w:rsidR="00DB1388" w:rsidRPr="00885993" w:rsidRDefault="00DB1388" w:rsidP="00DB1388">
      <w:pPr>
        <w:pStyle w:val="a4"/>
        <w:contextualSpacing/>
        <w:jc w:val="both"/>
        <w:rPr>
          <w:rFonts w:ascii="Times New Roman" w:hAnsi="Times New Roman"/>
          <w:sz w:val="24"/>
          <w:szCs w:val="24"/>
        </w:rPr>
      </w:pPr>
      <w:r w:rsidRPr="00885993">
        <w:rPr>
          <w:rFonts w:ascii="Times New Roman" w:hAnsi="Times New Roman"/>
          <w:sz w:val="24"/>
          <w:szCs w:val="24"/>
        </w:rPr>
        <w:t xml:space="preserve">22. Продвигайте катетер в вену, одновременно осторожно извлекая стальную иглу. </w:t>
      </w:r>
    </w:p>
    <w:p w:rsidR="00DB1388" w:rsidRPr="00885993" w:rsidRDefault="00DB1388" w:rsidP="00DB1388">
      <w:pPr>
        <w:pStyle w:val="a4"/>
        <w:contextualSpacing/>
        <w:jc w:val="both"/>
        <w:rPr>
          <w:rFonts w:ascii="Times New Roman" w:hAnsi="Times New Roman"/>
          <w:sz w:val="24"/>
          <w:szCs w:val="24"/>
        </w:rPr>
      </w:pPr>
      <w:r w:rsidRPr="00885993">
        <w:rPr>
          <w:rFonts w:ascii="Times New Roman" w:hAnsi="Times New Roman"/>
          <w:sz w:val="24"/>
          <w:szCs w:val="24"/>
        </w:rPr>
        <w:t xml:space="preserve">23. Используя пластырь фиксирующий, зафиксируйте катетер на коже. При этом стальная игла все еще должна </w:t>
      </w:r>
      <w:proofErr w:type="gramStart"/>
      <w:r w:rsidRPr="00885993">
        <w:rPr>
          <w:rFonts w:ascii="Times New Roman" w:hAnsi="Times New Roman"/>
          <w:sz w:val="24"/>
          <w:szCs w:val="24"/>
        </w:rPr>
        <w:t>находится</w:t>
      </w:r>
      <w:proofErr w:type="gramEnd"/>
      <w:r w:rsidRPr="00885993">
        <w:rPr>
          <w:rFonts w:ascii="Times New Roman" w:hAnsi="Times New Roman"/>
          <w:sz w:val="24"/>
          <w:szCs w:val="24"/>
        </w:rPr>
        <w:t xml:space="preserve"> внутри катетера, </w:t>
      </w:r>
      <w:proofErr w:type="spellStart"/>
      <w:r w:rsidRPr="00885993">
        <w:rPr>
          <w:rFonts w:ascii="Times New Roman" w:hAnsi="Times New Roman"/>
          <w:sz w:val="24"/>
          <w:szCs w:val="24"/>
        </w:rPr>
        <w:t>минимизируя</w:t>
      </w:r>
      <w:proofErr w:type="spellEnd"/>
      <w:r w:rsidRPr="00885993">
        <w:rPr>
          <w:rFonts w:ascii="Times New Roman" w:hAnsi="Times New Roman"/>
          <w:sz w:val="24"/>
          <w:szCs w:val="24"/>
        </w:rPr>
        <w:t xml:space="preserve"> утечку крови.</w:t>
      </w:r>
    </w:p>
    <w:p w:rsidR="00DB1388" w:rsidRPr="00885993" w:rsidRDefault="00DB1388" w:rsidP="00DB1388">
      <w:pPr>
        <w:pStyle w:val="a4"/>
        <w:contextualSpacing/>
        <w:jc w:val="both"/>
        <w:rPr>
          <w:rFonts w:ascii="Times New Roman" w:hAnsi="Times New Roman"/>
          <w:sz w:val="24"/>
          <w:szCs w:val="24"/>
        </w:rPr>
      </w:pPr>
      <w:r w:rsidRPr="00885993">
        <w:rPr>
          <w:rFonts w:ascii="Times New Roman" w:hAnsi="Times New Roman"/>
          <w:sz w:val="24"/>
          <w:szCs w:val="24"/>
        </w:rPr>
        <w:t>24. Перед удалением стальной иглы пережмите вену у кончика катетера средним пальцем, предотвращая утечку крови. Одновременно придерживайте центр катетера указательным пальцем, предотвращая смещение катетера при извлечении иглы. Полностью извлеките иглу из катетера. Металлическая защитная клипса автоматически закроет острие иглы, в момент, когда она будет полностью извлечена из катетера. Немедленно после извлечения поместите иглу в специальный контейнер.</w:t>
      </w:r>
    </w:p>
    <w:p w:rsidR="00DB1388" w:rsidRPr="00885993" w:rsidRDefault="00DB1388" w:rsidP="00DB1388">
      <w:pPr>
        <w:pStyle w:val="a4"/>
        <w:contextualSpacing/>
        <w:jc w:val="both"/>
        <w:rPr>
          <w:rFonts w:ascii="Times New Roman" w:hAnsi="Times New Roman"/>
          <w:sz w:val="24"/>
          <w:szCs w:val="24"/>
        </w:rPr>
      </w:pPr>
      <w:r w:rsidRPr="00885993">
        <w:rPr>
          <w:rFonts w:ascii="Times New Roman" w:hAnsi="Times New Roman"/>
          <w:sz w:val="24"/>
          <w:szCs w:val="24"/>
        </w:rPr>
        <w:t>25. Препарат вводится через дополнительный инъекционный порт (сверху изделия). Делается это посредством подсоединения конуса шприца легким закручивающим движением (рис. 6). Порт открывается и закрывается автоматически.</w:t>
      </w:r>
    </w:p>
    <w:p w:rsidR="00DB1388" w:rsidRPr="00885993" w:rsidRDefault="00DB1388" w:rsidP="00DB1388">
      <w:pPr>
        <w:pStyle w:val="a4"/>
        <w:contextualSpacing/>
        <w:jc w:val="both"/>
        <w:rPr>
          <w:rFonts w:ascii="Times New Roman" w:hAnsi="Times New Roman"/>
          <w:sz w:val="24"/>
          <w:szCs w:val="24"/>
        </w:rPr>
      </w:pPr>
      <w:r w:rsidRPr="00885993">
        <w:rPr>
          <w:rFonts w:ascii="Times New Roman" w:hAnsi="Times New Roman"/>
          <w:sz w:val="24"/>
          <w:szCs w:val="24"/>
        </w:rPr>
        <w:t>26. Закройте защитным колпачком дополнительный инъекционный порт.</w:t>
      </w:r>
    </w:p>
    <w:p w:rsidR="00DB1388" w:rsidRPr="00885993" w:rsidRDefault="00DB1388" w:rsidP="00DB1388">
      <w:pPr>
        <w:pStyle w:val="a4"/>
        <w:contextualSpacing/>
        <w:jc w:val="both"/>
        <w:rPr>
          <w:rFonts w:ascii="Times New Roman" w:hAnsi="Times New Roman"/>
          <w:sz w:val="24"/>
          <w:szCs w:val="24"/>
        </w:rPr>
      </w:pPr>
    </w:p>
    <w:p w:rsidR="00DB1388" w:rsidRPr="00885993" w:rsidRDefault="00DB1388" w:rsidP="00DB1388">
      <w:pPr>
        <w:pStyle w:val="a4"/>
        <w:contextualSpacing/>
        <w:jc w:val="center"/>
        <w:rPr>
          <w:rFonts w:ascii="Times New Roman" w:hAnsi="Times New Roman"/>
          <w:sz w:val="24"/>
          <w:szCs w:val="24"/>
        </w:rPr>
      </w:pPr>
      <w:r w:rsidRPr="002D5EA9">
        <w:rPr>
          <w:rFonts w:ascii="Times New Roman" w:hAnsi="Times New Roman"/>
          <w:noProof/>
          <w:sz w:val="24"/>
          <w:szCs w:val="24"/>
        </w:rPr>
        <w:drawing>
          <wp:inline distT="0" distB="0" distL="0" distR="0">
            <wp:extent cx="2266950" cy="1743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6950" cy="1743075"/>
                    </a:xfrm>
                    <a:prstGeom prst="rect">
                      <a:avLst/>
                    </a:prstGeom>
                    <a:noFill/>
                    <a:ln>
                      <a:noFill/>
                    </a:ln>
                  </pic:spPr>
                </pic:pic>
              </a:graphicData>
            </a:graphic>
          </wp:inline>
        </w:drawing>
      </w:r>
    </w:p>
    <w:p w:rsidR="00DB1388" w:rsidRPr="00885993" w:rsidRDefault="00DB1388" w:rsidP="00DB1388">
      <w:pPr>
        <w:pStyle w:val="a4"/>
        <w:contextualSpacing/>
        <w:jc w:val="center"/>
        <w:rPr>
          <w:rFonts w:ascii="Times New Roman" w:hAnsi="Times New Roman"/>
          <w:sz w:val="24"/>
          <w:szCs w:val="24"/>
        </w:rPr>
      </w:pPr>
      <w:r w:rsidRPr="00885993">
        <w:rPr>
          <w:rFonts w:ascii="Times New Roman" w:hAnsi="Times New Roman"/>
          <w:b/>
          <w:sz w:val="24"/>
          <w:szCs w:val="24"/>
        </w:rPr>
        <w:t>Рисунок 6</w:t>
      </w:r>
    </w:p>
    <w:p w:rsidR="00DB1388" w:rsidRPr="00885993" w:rsidRDefault="00DB1388" w:rsidP="00DB1388">
      <w:pPr>
        <w:pStyle w:val="a4"/>
        <w:contextualSpacing/>
        <w:jc w:val="both"/>
        <w:rPr>
          <w:rFonts w:ascii="Times New Roman" w:hAnsi="Times New Roman"/>
          <w:sz w:val="24"/>
          <w:szCs w:val="24"/>
        </w:rPr>
      </w:pPr>
    </w:p>
    <w:p w:rsidR="00DB1388" w:rsidRPr="00885993" w:rsidRDefault="00DB1388" w:rsidP="00DB1388">
      <w:pPr>
        <w:pStyle w:val="a4"/>
        <w:contextualSpacing/>
        <w:jc w:val="both"/>
        <w:rPr>
          <w:rFonts w:ascii="Times New Roman" w:hAnsi="Times New Roman"/>
          <w:sz w:val="24"/>
          <w:szCs w:val="24"/>
        </w:rPr>
      </w:pPr>
      <w:r w:rsidRPr="00885993">
        <w:rPr>
          <w:rFonts w:ascii="Times New Roman" w:hAnsi="Times New Roman"/>
          <w:sz w:val="24"/>
          <w:szCs w:val="24"/>
        </w:rPr>
        <w:t>27. Выбросьте неиспользованный раствор, пустые флаконы, использованные иглы и шприцы в специальный контейнер для медицинских отходов, поскольку при неправильной утилизации эти материалы могут нанести вред окружающим.</w:t>
      </w:r>
    </w:p>
    <w:p w:rsidR="00DB1388" w:rsidRPr="00885993" w:rsidRDefault="00DB1388" w:rsidP="00DB1388">
      <w:pPr>
        <w:pStyle w:val="a4"/>
        <w:contextualSpacing/>
        <w:jc w:val="both"/>
        <w:rPr>
          <w:rFonts w:ascii="Times New Roman" w:hAnsi="Times New Roman"/>
          <w:sz w:val="24"/>
          <w:szCs w:val="24"/>
        </w:rPr>
      </w:pPr>
      <w:r w:rsidRPr="00885993">
        <w:rPr>
          <w:rFonts w:ascii="Times New Roman" w:hAnsi="Times New Roman"/>
          <w:sz w:val="24"/>
          <w:szCs w:val="24"/>
        </w:rPr>
        <w:t>Если необходимо ввести более одной дозы препарата, аналогичным образом приготовьте раствор во флаконе из другой упаковки, использую прилагаемый растворитель, а затем соедините растворы в шприце большего объема (не прилагается) и введите препарат в обычном порядке.</w:t>
      </w:r>
    </w:p>
    <w:p w:rsidR="00DB1388" w:rsidRPr="00885993" w:rsidRDefault="00DB1388" w:rsidP="00DB1388">
      <w:pPr>
        <w:pStyle w:val="a4"/>
        <w:contextualSpacing/>
        <w:jc w:val="both"/>
        <w:rPr>
          <w:rFonts w:ascii="Times New Roman" w:hAnsi="Times New Roman"/>
          <w:sz w:val="24"/>
          <w:szCs w:val="24"/>
        </w:rPr>
      </w:pPr>
      <w:r w:rsidRPr="00885993">
        <w:rPr>
          <w:rFonts w:ascii="Times New Roman" w:hAnsi="Times New Roman"/>
          <w:sz w:val="24"/>
          <w:szCs w:val="24"/>
        </w:rPr>
        <w:t>Приготовленный раствор должен использоваться сразу после разведения. Если инъекция по какой-либо причине откладывается, флакон с приготовленным раствором препарата следует хранить при температуре от 2°С до 8°С не более 12 часов без замораживания или при температуре не выше 25°С не более 6 часов. Неиспользованный за это время раствор не должен применяться, его необходимо выкинуть.</w:t>
      </w:r>
    </w:p>
    <w:p w:rsidR="00DB1388" w:rsidRDefault="00DB1388" w:rsidP="00DB1388">
      <w:pPr>
        <w:contextualSpacing/>
        <w:jc w:val="both"/>
        <w:rPr>
          <w:b/>
          <w:lang w:bidi="ru-RU"/>
        </w:rPr>
      </w:pPr>
    </w:p>
    <w:p w:rsidR="00DB1388" w:rsidRPr="00052A7C" w:rsidRDefault="00DB1388" w:rsidP="00DB1388">
      <w:pPr>
        <w:contextualSpacing/>
        <w:jc w:val="both"/>
        <w:rPr>
          <w:b/>
        </w:rPr>
      </w:pPr>
      <w:r w:rsidRPr="00052A7C">
        <w:rPr>
          <w:b/>
          <w:lang w:bidi="ru-RU"/>
        </w:rPr>
        <w:t xml:space="preserve">Особые указания и </w:t>
      </w:r>
      <w:r w:rsidRPr="00052A7C">
        <w:rPr>
          <w:b/>
        </w:rPr>
        <w:t>меры предосторожности при применении</w:t>
      </w:r>
    </w:p>
    <w:p w:rsidR="00DB1388" w:rsidRDefault="00DB1388" w:rsidP="00DB1388">
      <w:pPr>
        <w:shd w:val="clear" w:color="auto" w:fill="FFFFFF"/>
        <w:contextualSpacing/>
        <w:jc w:val="both"/>
        <w:rPr>
          <w:i/>
          <w:color w:val="000000"/>
        </w:rPr>
      </w:pPr>
      <w:proofErr w:type="spellStart"/>
      <w:r>
        <w:rPr>
          <w:i/>
          <w:color w:val="000000"/>
        </w:rPr>
        <w:t>Прослеживаемость</w:t>
      </w:r>
      <w:proofErr w:type="spellEnd"/>
      <w:r>
        <w:rPr>
          <w:i/>
          <w:color w:val="000000"/>
        </w:rPr>
        <w:t xml:space="preserve"> </w:t>
      </w:r>
    </w:p>
    <w:p w:rsidR="00DB1388" w:rsidRPr="00605F52" w:rsidRDefault="00DB1388" w:rsidP="00DB1388">
      <w:pPr>
        <w:shd w:val="clear" w:color="auto" w:fill="FFFFFF"/>
        <w:contextualSpacing/>
        <w:jc w:val="both"/>
        <w:rPr>
          <w:iCs/>
          <w:color w:val="000000"/>
        </w:rPr>
      </w:pPr>
      <w:r>
        <w:rPr>
          <w:iCs/>
          <w:color w:val="000000"/>
        </w:rPr>
        <w:t xml:space="preserve">При каждом введении </w:t>
      </w:r>
      <w:r w:rsidRPr="00052A7C">
        <w:t xml:space="preserve">препарата </w:t>
      </w:r>
      <w:proofErr w:type="spellStart"/>
      <w:r w:rsidRPr="00052A7C">
        <w:t>Октоклотин</w:t>
      </w:r>
      <w:proofErr w:type="spellEnd"/>
      <w:r w:rsidRPr="00052A7C">
        <w:t xml:space="preserve"> </w:t>
      </w:r>
      <w:r w:rsidRPr="00DD1AC5">
        <w:t>пациенту следует рекомендовать</w:t>
      </w:r>
      <w:r>
        <w:t xml:space="preserve"> </w:t>
      </w:r>
      <w:r w:rsidRPr="00052A7C">
        <w:t>записывать название и номер серии препарата, указанные на упаковке. Данная информация может</w:t>
      </w:r>
      <w:r>
        <w:t xml:space="preserve"> </w:t>
      </w:r>
      <w:r w:rsidRPr="00052A7C">
        <w:t xml:space="preserve">потребоваться для </w:t>
      </w:r>
      <w:proofErr w:type="spellStart"/>
      <w:r w:rsidRPr="00052A7C">
        <w:t>прослеживаемости</w:t>
      </w:r>
      <w:proofErr w:type="spellEnd"/>
      <w:r w:rsidRPr="00052A7C">
        <w:t xml:space="preserve"> связи между пациентом и номером серии лекарственного препарата.</w:t>
      </w:r>
    </w:p>
    <w:p w:rsidR="00DB1388" w:rsidRPr="00052A7C" w:rsidRDefault="00DB1388" w:rsidP="00DB1388">
      <w:pPr>
        <w:shd w:val="clear" w:color="auto" w:fill="FFFFFF"/>
        <w:contextualSpacing/>
        <w:jc w:val="both"/>
        <w:rPr>
          <w:i/>
          <w:color w:val="000000"/>
        </w:rPr>
      </w:pPr>
      <w:r w:rsidRPr="00052A7C">
        <w:rPr>
          <w:i/>
          <w:color w:val="000000"/>
        </w:rPr>
        <w:t>Реакции гиперчувствительности</w:t>
      </w:r>
    </w:p>
    <w:p w:rsidR="00DB1388" w:rsidRPr="00052A7C" w:rsidRDefault="00DB1388" w:rsidP="00DB1388">
      <w:pPr>
        <w:shd w:val="clear" w:color="auto" w:fill="FFFFFF"/>
        <w:contextualSpacing/>
        <w:jc w:val="both"/>
        <w:rPr>
          <w:color w:val="000000"/>
        </w:rPr>
      </w:pPr>
      <w:r w:rsidRPr="00052A7C">
        <w:rPr>
          <w:color w:val="000000"/>
        </w:rPr>
        <w:t xml:space="preserve">Внутривенное введение белковых препаратов, в том числе и </w:t>
      </w:r>
      <w:proofErr w:type="spellStart"/>
      <w:r w:rsidRPr="00052A7C">
        <w:rPr>
          <w:color w:val="000000"/>
        </w:rPr>
        <w:t>Октоклотина</w:t>
      </w:r>
      <w:proofErr w:type="spellEnd"/>
      <w:r w:rsidRPr="00052A7C">
        <w:rPr>
          <w:color w:val="000000"/>
        </w:rPr>
        <w:t>, может сопровождаться развитием реакций гиперчувствительности. Пациентов необходимо</w:t>
      </w:r>
      <w:r w:rsidRPr="00FD75CD">
        <w:rPr>
          <w:color w:val="000000"/>
        </w:rPr>
        <w:t xml:space="preserve"> </w:t>
      </w:r>
      <w:r w:rsidRPr="00052A7C">
        <w:rPr>
          <w:color w:val="000000"/>
        </w:rPr>
        <w:t xml:space="preserve">проинформировать о ранних признаках реакций гиперчувствительности, включая </w:t>
      </w:r>
      <w:proofErr w:type="spellStart"/>
      <w:r w:rsidRPr="00052A7C">
        <w:rPr>
          <w:color w:val="000000"/>
        </w:rPr>
        <w:t>генерализованную</w:t>
      </w:r>
      <w:proofErr w:type="spellEnd"/>
      <w:r w:rsidRPr="00052A7C">
        <w:rPr>
          <w:color w:val="000000"/>
        </w:rPr>
        <w:t xml:space="preserve"> сыпь, крапивницу, стесненность в груди, хрипы, гипотонию и анафилаксию.</w:t>
      </w:r>
      <w:r>
        <w:rPr>
          <w:color w:val="000000"/>
        </w:rPr>
        <w:t xml:space="preserve"> </w:t>
      </w:r>
      <w:r w:rsidRPr="00052A7C">
        <w:rPr>
          <w:color w:val="000000"/>
        </w:rPr>
        <w:t>При</w:t>
      </w:r>
      <w:r w:rsidRPr="00FD75CD">
        <w:rPr>
          <w:color w:val="000000"/>
        </w:rPr>
        <w:t xml:space="preserve"> </w:t>
      </w:r>
      <w:r w:rsidRPr="00052A7C">
        <w:rPr>
          <w:color w:val="000000"/>
        </w:rPr>
        <w:t>развитии</w:t>
      </w:r>
      <w:r w:rsidRPr="00FD75CD">
        <w:rPr>
          <w:color w:val="000000"/>
        </w:rPr>
        <w:t xml:space="preserve"> </w:t>
      </w:r>
      <w:r w:rsidRPr="00052A7C">
        <w:rPr>
          <w:color w:val="000000"/>
        </w:rPr>
        <w:t>шока необходимо предпринять стандартное противошоковое лечение.</w:t>
      </w:r>
    </w:p>
    <w:p w:rsidR="00DB1388" w:rsidRPr="00052A7C" w:rsidRDefault="00DB1388" w:rsidP="00DB1388">
      <w:pPr>
        <w:shd w:val="clear" w:color="auto" w:fill="FFFFFF"/>
        <w:contextualSpacing/>
        <w:jc w:val="both"/>
        <w:rPr>
          <w:i/>
          <w:color w:val="000000"/>
        </w:rPr>
      </w:pPr>
      <w:r w:rsidRPr="00052A7C">
        <w:rPr>
          <w:i/>
          <w:color w:val="000000"/>
        </w:rPr>
        <w:t>Образование нейтрализующих антител</w:t>
      </w:r>
    </w:p>
    <w:p w:rsidR="00DB1388" w:rsidRDefault="00DB1388" w:rsidP="00DB1388">
      <w:pPr>
        <w:shd w:val="clear" w:color="auto" w:fill="FFFFFF"/>
        <w:contextualSpacing/>
        <w:jc w:val="both"/>
        <w:rPr>
          <w:color w:val="000000"/>
        </w:rPr>
      </w:pPr>
      <w:r w:rsidRPr="00885993">
        <w:rPr>
          <w:color w:val="000000"/>
        </w:rPr>
        <w:t xml:space="preserve">У пациентов, получающих лечение препаратами фактора свёртывания крови VIII, иногда возможно образование активных нейтрализующих антител (ингибиторов), относящихся к иммуноглобулинам G. Клинически это может проявляться в виде недостаточного ответа на терапию. Титр ингибиторов измеряется в единицах </w:t>
      </w:r>
      <w:proofErr w:type="spellStart"/>
      <w:r w:rsidRPr="00885993">
        <w:rPr>
          <w:color w:val="000000"/>
        </w:rPr>
        <w:t>Бетезда</w:t>
      </w:r>
      <w:proofErr w:type="spellEnd"/>
      <w:r w:rsidRPr="00885993">
        <w:rPr>
          <w:color w:val="000000"/>
        </w:rPr>
        <w:t xml:space="preserve"> (БЕ) на мл плазмы крови и определяется с использованием теста </w:t>
      </w:r>
      <w:proofErr w:type="spellStart"/>
      <w:r w:rsidRPr="00885993">
        <w:rPr>
          <w:color w:val="000000"/>
        </w:rPr>
        <w:t>Бетеза</w:t>
      </w:r>
      <w:proofErr w:type="spellEnd"/>
      <w:r w:rsidRPr="00885993">
        <w:rPr>
          <w:color w:val="000000"/>
        </w:rPr>
        <w:t xml:space="preserve"> в модификации </w:t>
      </w:r>
      <w:proofErr w:type="spellStart"/>
      <w:r w:rsidRPr="00885993">
        <w:rPr>
          <w:color w:val="000000"/>
        </w:rPr>
        <w:t>Неймеген</w:t>
      </w:r>
      <w:proofErr w:type="spellEnd"/>
      <w:r w:rsidRPr="00885993">
        <w:rPr>
          <w:color w:val="000000"/>
        </w:rPr>
        <w:t xml:space="preserve">. Анализ на наличие ингибиторов к фактору свёртывания крови VIII проводится при невозможности достичь ожидаемого уровня активности фактора свёртывания крови VIII или остановить кровотечение при введении адекватно рассчитанной дозы. При наличии высоких концентраций ингибиторов к фактору свёртывания крови VIII (&gt;10 БЕ) терапия </w:t>
      </w:r>
      <w:proofErr w:type="spellStart"/>
      <w:r w:rsidRPr="00885993">
        <w:rPr>
          <w:color w:val="000000"/>
        </w:rPr>
        <w:t>мороктоког</w:t>
      </w:r>
      <w:proofErr w:type="spellEnd"/>
      <w:r w:rsidRPr="00885993">
        <w:rPr>
          <w:color w:val="000000"/>
        </w:rPr>
        <w:t xml:space="preserve"> альфа может оказаться неэффективной. В </w:t>
      </w:r>
      <w:proofErr w:type="gramStart"/>
      <w:r w:rsidRPr="00885993">
        <w:rPr>
          <w:color w:val="000000"/>
        </w:rPr>
        <w:t>этом</w:t>
      </w:r>
      <w:proofErr w:type="gramEnd"/>
      <w:r w:rsidRPr="00885993">
        <w:rPr>
          <w:color w:val="000000"/>
        </w:rPr>
        <w:t xml:space="preserve"> случае может потребоваться повышение дозы препарата или проведение соответст</w:t>
      </w:r>
      <w:r>
        <w:rPr>
          <w:color w:val="000000"/>
        </w:rPr>
        <w:t xml:space="preserve">вующей специфической терапии. </w:t>
      </w:r>
    </w:p>
    <w:p w:rsidR="00DB1388" w:rsidRPr="00052A7C" w:rsidRDefault="00DB1388" w:rsidP="00DB1388">
      <w:pPr>
        <w:shd w:val="clear" w:color="auto" w:fill="FFFFFF"/>
        <w:contextualSpacing/>
        <w:jc w:val="both"/>
        <w:rPr>
          <w:i/>
          <w:color w:val="000000"/>
        </w:rPr>
      </w:pPr>
      <w:r w:rsidRPr="00052A7C">
        <w:rPr>
          <w:i/>
          <w:color w:val="000000"/>
        </w:rPr>
        <w:t>Катетер-ассоциированные инфекционные и тромботические осложнения</w:t>
      </w:r>
    </w:p>
    <w:p w:rsidR="00DB1388" w:rsidRDefault="00DB1388" w:rsidP="00DB1388">
      <w:pPr>
        <w:shd w:val="clear" w:color="auto" w:fill="FFFFFF"/>
        <w:contextualSpacing/>
        <w:jc w:val="both"/>
        <w:rPr>
          <w:color w:val="000000"/>
        </w:rPr>
      </w:pPr>
      <w:r w:rsidRPr="00052A7C">
        <w:rPr>
          <w:color w:val="000000"/>
        </w:rPr>
        <w:lastRenderedPageBreak/>
        <w:t>Следует учитывать риск возникновения катетер-ассоциированных инфекционных и тромботических осложнений, включая местные воспалительные реакции и бактериемию у пациентов с установленным центральным венозным катетером.</w:t>
      </w:r>
    </w:p>
    <w:p w:rsidR="00DB1388" w:rsidRPr="00052A7C" w:rsidRDefault="00DB1388" w:rsidP="00DB1388">
      <w:pPr>
        <w:shd w:val="clear" w:color="auto" w:fill="FFFFFF"/>
        <w:contextualSpacing/>
        <w:jc w:val="both"/>
        <w:rPr>
          <w:color w:val="000000"/>
        </w:rPr>
      </w:pPr>
    </w:p>
    <w:p w:rsidR="00DB1388" w:rsidRPr="00052A7C" w:rsidRDefault="00DB1388" w:rsidP="00DB1388">
      <w:pPr>
        <w:shd w:val="clear" w:color="auto" w:fill="FFFFFF"/>
        <w:contextualSpacing/>
        <w:jc w:val="both"/>
        <w:rPr>
          <w:i/>
          <w:color w:val="000000"/>
        </w:rPr>
      </w:pPr>
      <w:r w:rsidRPr="00052A7C">
        <w:rPr>
          <w:i/>
          <w:color w:val="000000"/>
        </w:rPr>
        <w:t>Содержание натрия</w:t>
      </w:r>
    </w:p>
    <w:p w:rsidR="00DB1388" w:rsidRPr="00885993" w:rsidRDefault="00DB1388" w:rsidP="00DB1388">
      <w:pPr>
        <w:shd w:val="clear" w:color="auto" w:fill="FFFFFF"/>
        <w:contextualSpacing/>
        <w:jc w:val="both"/>
      </w:pPr>
      <w:r w:rsidRPr="00885993">
        <w:t xml:space="preserve">Каждый флакон приготовленного раствора препарата </w:t>
      </w:r>
      <w:proofErr w:type="spellStart"/>
      <w:r w:rsidRPr="00885993">
        <w:t>Октоклотин</w:t>
      </w:r>
      <w:proofErr w:type="spellEnd"/>
      <w:r w:rsidRPr="00885993">
        <w:t xml:space="preserve"> содержит 1.23 </w:t>
      </w:r>
      <w:proofErr w:type="spellStart"/>
      <w:r w:rsidRPr="00885993">
        <w:t>ммоль</w:t>
      </w:r>
      <w:proofErr w:type="spellEnd"/>
      <w:r w:rsidRPr="00885993">
        <w:t xml:space="preserve"> (29 мг) натрия. Необходимо соблюдать осторожность при назначении препарата пациентам, соблюдающим бессолевую диету.</w:t>
      </w:r>
    </w:p>
    <w:p w:rsidR="00DB1388" w:rsidRPr="00052A7C" w:rsidRDefault="00DB1388" w:rsidP="00DB1388">
      <w:pPr>
        <w:widowControl w:val="0"/>
        <w:tabs>
          <w:tab w:val="left" w:pos="567"/>
        </w:tabs>
        <w:contextualSpacing/>
        <w:jc w:val="both"/>
        <w:rPr>
          <w:i/>
          <w:lang w:bidi="ru-RU"/>
        </w:rPr>
      </w:pPr>
      <w:proofErr w:type="gramStart"/>
      <w:r w:rsidRPr="00052A7C">
        <w:rPr>
          <w:i/>
          <w:lang w:bidi="ru-RU"/>
        </w:rPr>
        <w:t>Сердечно-сосудистые</w:t>
      </w:r>
      <w:proofErr w:type="gramEnd"/>
      <w:r w:rsidRPr="003818C3">
        <w:rPr>
          <w:i/>
          <w:lang w:bidi="ru-RU"/>
        </w:rPr>
        <w:t xml:space="preserve"> </w:t>
      </w:r>
      <w:r w:rsidRPr="00052A7C">
        <w:rPr>
          <w:i/>
          <w:lang w:bidi="ru-RU"/>
        </w:rPr>
        <w:t>заболевания</w:t>
      </w:r>
    </w:p>
    <w:p w:rsidR="00DB1388" w:rsidRPr="00052A7C" w:rsidRDefault="00DB1388" w:rsidP="00DB1388">
      <w:pPr>
        <w:widowControl w:val="0"/>
        <w:tabs>
          <w:tab w:val="left" w:pos="567"/>
        </w:tabs>
        <w:contextualSpacing/>
        <w:jc w:val="both"/>
        <w:rPr>
          <w:lang w:bidi="ru-RU"/>
        </w:rPr>
      </w:pPr>
      <w:r w:rsidRPr="00052A7C">
        <w:rPr>
          <w:lang w:bidi="ru-RU"/>
        </w:rPr>
        <w:t xml:space="preserve">У пациентов с имеющимися факторами риска развития </w:t>
      </w:r>
      <w:proofErr w:type="gramStart"/>
      <w:r w:rsidRPr="00052A7C">
        <w:rPr>
          <w:lang w:bidi="ru-RU"/>
        </w:rPr>
        <w:t>сердечно-сосудистых</w:t>
      </w:r>
      <w:proofErr w:type="gramEnd"/>
      <w:r w:rsidRPr="00052A7C">
        <w:rPr>
          <w:lang w:bidi="ru-RU"/>
        </w:rPr>
        <w:t xml:space="preserve"> заболеваний заместительная терапия фактором VIII может повышать риск сердечно-сосудистых заболеваний.</w:t>
      </w:r>
    </w:p>
    <w:p w:rsidR="00DB1388" w:rsidRPr="00052A7C" w:rsidRDefault="00DB1388" w:rsidP="00DB1388">
      <w:pPr>
        <w:shd w:val="clear" w:color="auto" w:fill="FFFFFF"/>
        <w:contextualSpacing/>
        <w:jc w:val="both"/>
        <w:rPr>
          <w:i/>
          <w:color w:val="000000"/>
        </w:rPr>
      </w:pPr>
      <w:r w:rsidRPr="00052A7C">
        <w:rPr>
          <w:i/>
          <w:color w:val="000000"/>
        </w:rPr>
        <w:t>Сообщения о недостаточном эффекте препарата</w:t>
      </w:r>
    </w:p>
    <w:p w:rsidR="00DB1388" w:rsidRPr="00885993" w:rsidRDefault="00DB1388" w:rsidP="00DB1388">
      <w:pPr>
        <w:shd w:val="clear" w:color="auto" w:fill="FFFFFF"/>
        <w:contextualSpacing/>
        <w:jc w:val="both"/>
      </w:pPr>
      <w:r w:rsidRPr="00885993">
        <w:rPr>
          <w:color w:val="000000"/>
        </w:rPr>
        <w:t xml:space="preserve">Имеются данные о недостаточном эффекте </w:t>
      </w:r>
      <w:proofErr w:type="spellStart"/>
      <w:r w:rsidRPr="00885993">
        <w:rPr>
          <w:color w:val="000000"/>
        </w:rPr>
        <w:t>мороктокога</w:t>
      </w:r>
      <w:proofErr w:type="spellEnd"/>
      <w:r w:rsidRPr="00885993">
        <w:rPr>
          <w:color w:val="000000"/>
        </w:rPr>
        <w:t xml:space="preserve"> </w:t>
      </w:r>
      <w:proofErr w:type="gramStart"/>
      <w:r w:rsidRPr="00885993">
        <w:rPr>
          <w:color w:val="000000"/>
        </w:rPr>
        <w:t>альфа</w:t>
      </w:r>
      <w:proofErr w:type="gramEnd"/>
      <w:r w:rsidRPr="00885993">
        <w:rPr>
          <w:color w:val="000000"/>
        </w:rPr>
        <w:t xml:space="preserve"> особенно, при профилактическом применении, которые были получены в ходе клинических испытаний и при </w:t>
      </w:r>
      <w:proofErr w:type="spellStart"/>
      <w:r w:rsidRPr="00885993">
        <w:rPr>
          <w:color w:val="000000"/>
        </w:rPr>
        <w:t>постмаркетинговом</w:t>
      </w:r>
      <w:proofErr w:type="spellEnd"/>
      <w:r w:rsidRPr="00885993">
        <w:rPr>
          <w:color w:val="000000"/>
        </w:rPr>
        <w:t xml:space="preserve"> применении. Недостаточность эффекта </w:t>
      </w:r>
      <w:r w:rsidRPr="00885993">
        <w:t xml:space="preserve">проявлялась в виде повторных кровотечений в суставы, которые были поражены </w:t>
      </w:r>
      <w:proofErr w:type="gramStart"/>
      <w:r w:rsidRPr="00885993">
        <w:t>раннее</w:t>
      </w:r>
      <w:proofErr w:type="gramEnd"/>
      <w:r w:rsidRPr="00885993">
        <w:t>, а также в виде первичных кровотечений в суставы, до этого не вовлеченные в процесс.</w:t>
      </w:r>
    </w:p>
    <w:p w:rsidR="00DB1388" w:rsidRDefault="00DB1388" w:rsidP="00DB1388">
      <w:pPr>
        <w:shd w:val="clear" w:color="auto" w:fill="FFFFFF"/>
        <w:contextualSpacing/>
        <w:jc w:val="both"/>
        <w:rPr>
          <w:color w:val="000000"/>
        </w:rPr>
      </w:pPr>
      <w:r w:rsidRPr="00885993">
        <w:rPr>
          <w:color w:val="000000"/>
        </w:rPr>
        <w:t xml:space="preserve">При назначении </w:t>
      </w:r>
      <w:proofErr w:type="spellStart"/>
      <w:r w:rsidRPr="00885993">
        <w:t>мороктокога</w:t>
      </w:r>
      <w:proofErr w:type="spellEnd"/>
      <w:r w:rsidRPr="00885993">
        <w:t xml:space="preserve"> альфа</w:t>
      </w:r>
      <w:r w:rsidRPr="00885993">
        <w:rPr>
          <w:color w:val="000000"/>
        </w:rPr>
        <w:t xml:space="preserve"> важно индивидуально титровать дозу и контролировать уровень фактора у каждого пациента, чтобы гарантировать соответствующий терапевтический ответ.</w:t>
      </w:r>
    </w:p>
    <w:p w:rsidR="00DB1388" w:rsidRPr="00B46B91" w:rsidRDefault="00DB1388" w:rsidP="00DB1388">
      <w:pPr>
        <w:jc w:val="center"/>
        <w:rPr>
          <w:lang w:eastAsia="en-US"/>
        </w:rPr>
      </w:pPr>
    </w:p>
    <w:p w:rsidR="00DB1388" w:rsidRPr="00296860" w:rsidRDefault="00DB1388" w:rsidP="00DB1388">
      <w:pPr>
        <w:spacing w:line="259" w:lineRule="auto"/>
        <w:jc w:val="both"/>
        <w:rPr>
          <w:rFonts w:eastAsia="Calibri"/>
          <w:b/>
          <w:lang w:eastAsia="en-US"/>
        </w:rPr>
      </w:pPr>
      <w:r w:rsidRPr="00296860">
        <w:rPr>
          <w:rFonts w:eastAsia="Calibri"/>
          <w:b/>
          <w:lang w:eastAsia="en-US"/>
        </w:rPr>
        <w:t>Сообщение о подозреваемых нежелательных реакциях</w:t>
      </w:r>
    </w:p>
    <w:p w:rsidR="00DB1388" w:rsidRPr="00296860" w:rsidRDefault="00DB1388" w:rsidP="00DB1388">
      <w:pPr>
        <w:jc w:val="both"/>
      </w:pPr>
      <w:r w:rsidRPr="00296860">
        <w:t>Важно сообщать о подозреваемых нежелательных реакциях после регистрации лекарственного препарата с целью обеспечения непрерывного мониторинга соотношения «польза-риск» лекарственного препарата. Медицинским работникам рекомендуется сообщать о любых подозреваемых нежелательных реакциях лекарственного препарата через национальную систему сообщения о нежелательных реакциях Республики Казахстан:</w:t>
      </w:r>
    </w:p>
    <w:p w:rsidR="00DB1388" w:rsidRPr="00945651" w:rsidRDefault="00DB1388" w:rsidP="00DB1388">
      <w:pPr>
        <w:shd w:val="clear" w:color="auto" w:fill="FFFFFF"/>
        <w:autoSpaceDE w:val="0"/>
        <w:autoSpaceDN w:val="0"/>
        <w:adjustRightInd w:val="0"/>
        <w:jc w:val="both"/>
        <w:rPr>
          <w:rFonts w:eastAsia="Calibri"/>
          <w:lang w:eastAsia="en-US"/>
        </w:rPr>
      </w:pPr>
      <w:r w:rsidRPr="00296860">
        <w:t xml:space="preserve">РГП на ПХВ «Национальный Центр экспертизы лекарственных средств и медицинских изделий» </w:t>
      </w:r>
      <w:proofErr w:type="gramStart"/>
      <w:r>
        <w:t>КМ</w:t>
      </w:r>
      <w:proofErr w:type="gramEnd"/>
      <w:r>
        <w:t xml:space="preserve"> и ФК</w:t>
      </w:r>
      <w:r w:rsidRPr="00296860">
        <w:t xml:space="preserve"> Министерства здравоохранения Республики Казахстан</w:t>
      </w:r>
      <w:r>
        <w:t xml:space="preserve">: </w:t>
      </w:r>
      <w:hyperlink r:id="rId21" w:history="1">
        <w:r w:rsidRPr="00296860">
          <w:rPr>
            <w:lang w:val="en-US"/>
          </w:rPr>
          <w:t>http</w:t>
        </w:r>
        <w:r w:rsidRPr="00296860">
          <w:t>://</w:t>
        </w:r>
        <w:r w:rsidRPr="00296860">
          <w:rPr>
            <w:lang w:val="en-US"/>
          </w:rPr>
          <w:t>www</w:t>
        </w:r>
        <w:r w:rsidRPr="00296860">
          <w:t>.</w:t>
        </w:r>
        <w:r w:rsidRPr="00296860">
          <w:rPr>
            <w:lang w:val="en-US"/>
          </w:rPr>
          <w:t>ndda</w:t>
        </w:r>
        <w:r w:rsidRPr="00296860">
          <w:t>.</w:t>
        </w:r>
        <w:r w:rsidRPr="00296860">
          <w:rPr>
            <w:lang w:val="en-US"/>
          </w:rPr>
          <w:t>kz</w:t>
        </w:r>
      </w:hyperlink>
      <w:r>
        <w:t xml:space="preserve">, </w:t>
      </w:r>
      <w:r w:rsidRPr="00945651">
        <w:rPr>
          <w:rFonts w:eastAsia="Calibri"/>
          <w:lang w:eastAsia="en-US"/>
        </w:rPr>
        <w:t>e-</w:t>
      </w:r>
      <w:proofErr w:type="spellStart"/>
      <w:r w:rsidRPr="00945651">
        <w:rPr>
          <w:rFonts w:eastAsia="Calibri"/>
          <w:lang w:eastAsia="en-US"/>
        </w:rPr>
        <w:t>mail</w:t>
      </w:r>
      <w:proofErr w:type="spellEnd"/>
      <w:r w:rsidRPr="00945651">
        <w:rPr>
          <w:rFonts w:eastAsia="Calibri"/>
          <w:lang w:eastAsia="en-US"/>
        </w:rPr>
        <w:t xml:space="preserve">: </w:t>
      </w:r>
      <w:hyperlink r:id="rId22" w:history="1">
        <w:r w:rsidRPr="00373680">
          <w:rPr>
            <w:rStyle w:val="a3"/>
            <w:rFonts w:eastAsia="Calibri"/>
            <w:lang w:eastAsia="en-US"/>
          </w:rPr>
          <w:t>pdlc@dari.kz</w:t>
        </w:r>
      </w:hyperlink>
      <w:r>
        <w:rPr>
          <w:rFonts w:eastAsia="Calibri"/>
          <w:lang w:eastAsia="en-US"/>
        </w:rPr>
        <w:t xml:space="preserve">, номер </w:t>
      </w:r>
      <w:r w:rsidRPr="00945651">
        <w:rPr>
          <w:rFonts w:eastAsia="Calibri"/>
          <w:lang w:eastAsia="en-US"/>
        </w:rPr>
        <w:t xml:space="preserve">телефон 8 </w:t>
      </w:r>
      <w:r>
        <w:rPr>
          <w:rFonts w:eastAsia="Calibri"/>
          <w:lang w:eastAsia="en-US"/>
        </w:rPr>
        <w:t>(</w:t>
      </w:r>
      <w:r w:rsidRPr="00945651">
        <w:rPr>
          <w:rFonts w:eastAsia="Calibri"/>
          <w:lang w:eastAsia="en-US"/>
        </w:rPr>
        <w:t>7172</w:t>
      </w:r>
      <w:r>
        <w:rPr>
          <w:rFonts w:eastAsia="Calibri"/>
          <w:lang w:eastAsia="en-US"/>
        </w:rPr>
        <w:t>)</w:t>
      </w:r>
      <w:r w:rsidRPr="00945651">
        <w:rPr>
          <w:rFonts w:eastAsia="Calibri"/>
          <w:lang w:eastAsia="en-US"/>
        </w:rPr>
        <w:t xml:space="preserve"> 78 98 28</w:t>
      </w:r>
      <w:r>
        <w:rPr>
          <w:rFonts w:eastAsia="Calibri"/>
          <w:lang w:eastAsia="en-US"/>
        </w:rPr>
        <w:t>.</w:t>
      </w:r>
    </w:p>
    <w:p w:rsidR="00DB1388" w:rsidRDefault="00DB1388" w:rsidP="00DB1388">
      <w:pPr>
        <w:spacing w:line="259" w:lineRule="auto"/>
        <w:jc w:val="both"/>
        <w:rPr>
          <w:rFonts w:eastAsia="Calibri"/>
          <w:lang w:eastAsia="en-US"/>
        </w:rPr>
      </w:pPr>
    </w:p>
    <w:p w:rsidR="00DB1388" w:rsidRPr="00945651" w:rsidRDefault="00DB1388" w:rsidP="00DB1388">
      <w:pPr>
        <w:spacing w:line="259" w:lineRule="auto"/>
        <w:jc w:val="both"/>
        <w:rPr>
          <w:rFonts w:eastAsia="Calibri"/>
          <w:lang w:eastAsia="en-US"/>
        </w:rPr>
      </w:pPr>
      <w:r w:rsidRPr="00945651">
        <w:rPr>
          <w:rFonts w:eastAsia="Calibri"/>
          <w:lang w:eastAsia="en-US"/>
        </w:rPr>
        <w:t xml:space="preserve">О нежелательных </w:t>
      </w:r>
      <w:r>
        <w:rPr>
          <w:rFonts w:eastAsia="Calibri"/>
          <w:lang w:eastAsia="en-US"/>
        </w:rPr>
        <w:t>реакциях</w:t>
      </w:r>
      <w:r w:rsidRPr="00945651">
        <w:rPr>
          <w:rFonts w:eastAsia="Calibri"/>
          <w:lang w:eastAsia="en-US"/>
        </w:rPr>
        <w:t xml:space="preserve">, возникающих при использовании лекарственных </w:t>
      </w:r>
      <w:r>
        <w:rPr>
          <w:rFonts w:eastAsia="Calibri"/>
          <w:lang w:eastAsia="en-US"/>
        </w:rPr>
        <w:t>препаратов</w:t>
      </w:r>
      <w:r w:rsidRPr="00945651">
        <w:rPr>
          <w:rFonts w:eastAsia="Calibri"/>
          <w:lang w:eastAsia="en-US"/>
        </w:rPr>
        <w:t xml:space="preserve">, произведённых компанией ТОО «КФК», следует сообщать в ТОО «КФК» Отдел по </w:t>
      </w:r>
      <w:proofErr w:type="spellStart"/>
      <w:r w:rsidRPr="00945651">
        <w:rPr>
          <w:rFonts w:eastAsia="Calibri"/>
          <w:lang w:eastAsia="en-US"/>
        </w:rPr>
        <w:t>фармаконадзору</w:t>
      </w:r>
      <w:proofErr w:type="spellEnd"/>
      <w:r w:rsidRPr="00945651">
        <w:rPr>
          <w:rFonts w:eastAsia="Calibri"/>
          <w:lang w:eastAsia="en-US"/>
        </w:rPr>
        <w:t xml:space="preserve">: </w:t>
      </w:r>
    </w:p>
    <w:p w:rsidR="00DB1388" w:rsidRPr="00945651" w:rsidRDefault="00DB1388" w:rsidP="00DB1388">
      <w:pPr>
        <w:spacing w:line="259" w:lineRule="auto"/>
        <w:jc w:val="both"/>
        <w:rPr>
          <w:rFonts w:eastAsia="Calibri"/>
          <w:lang w:eastAsia="en-US"/>
        </w:rPr>
      </w:pPr>
      <w:r w:rsidRPr="00945651">
        <w:rPr>
          <w:rFonts w:eastAsia="Calibri"/>
          <w:lang w:eastAsia="en-US"/>
        </w:rPr>
        <w:t>ТОО «Карагандинский фармацевтический комплекс» Республика Казахстан</w:t>
      </w:r>
    </w:p>
    <w:p w:rsidR="00DB1388" w:rsidRPr="00945651" w:rsidRDefault="00DB1388" w:rsidP="00DB1388">
      <w:pPr>
        <w:spacing w:line="259" w:lineRule="auto"/>
        <w:jc w:val="both"/>
        <w:rPr>
          <w:rFonts w:eastAsia="Calibri"/>
          <w:lang w:eastAsia="en-US"/>
        </w:rPr>
      </w:pPr>
      <w:r w:rsidRPr="00945651">
        <w:rPr>
          <w:rFonts w:eastAsia="Calibri"/>
          <w:lang w:eastAsia="en-US"/>
        </w:rPr>
        <w:t xml:space="preserve">100009, г. Караганда, ул. </w:t>
      </w:r>
      <w:proofErr w:type="spellStart"/>
      <w:r w:rsidRPr="00945651">
        <w:rPr>
          <w:rFonts w:eastAsia="Calibri"/>
          <w:lang w:eastAsia="en-US"/>
        </w:rPr>
        <w:t>Газалиева</w:t>
      </w:r>
      <w:proofErr w:type="spellEnd"/>
      <w:r w:rsidRPr="00945651">
        <w:rPr>
          <w:rFonts w:eastAsia="Calibri"/>
          <w:lang w:eastAsia="en-US"/>
        </w:rPr>
        <w:t>, стр. 16</w:t>
      </w:r>
    </w:p>
    <w:p w:rsidR="00DB1388" w:rsidRPr="00945651" w:rsidRDefault="00DB1388" w:rsidP="00DB1388">
      <w:pPr>
        <w:spacing w:line="259" w:lineRule="auto"/>
        <w:jc w:val="both"/>
        <w:rPr>
          <w:rFonts w:eastAsia="Calibri"/>
          <w:lang w:eastAsia="en-US"/>
        </w:rPr>
      </w:pPr>
      <w:r>
        <w:rPr>
          <w:rFonts w:eastAsia="Calibri"/>
          <w:lang w:eastAsia="en-US"/>
        </w:rPr>
        <w:t>Номер телефона 8</w:t>
      </w:r>
      <w:r w:rsidRPr="00945651">
        <w:rPr>
          <w:rFonts w:eastAsia="Calibri"/>
          <w:lang w:eastAsia="en-US"/>
        </w:rPr>
        <w:t xml:space="preserve"> (7</w:t>
      </w:r>
      <w:r>
        <w:rPr>
          <w:rFonts w:eastAsia="Calibri"/>
          <w:lang w:eastAsia="en-US"/>
        </w:rPr>
        <w:t>212) 90-80-43, факс (7212) 90-65-49</w:t>
      </w:r>
      <w:r w:rsidRPr="00945651">
        <w:rPr>
          <w:rFonts w:eastAsia="Calibri"/>
          <w:lang w:eastAsia="en-US"/>
        </w:rPr>
        <w:t xml:space="preserve"> </w:t>
      </w:r>
    </w:p>
    <w:p w:rsidR="00DB1388" w:rsidRPr="00945651" w:rsidRDefault="00DB1388" w:rsidP="00DB1388">
      <w:pPr>
        <w:spacing w:line="259" w:lineRule="auto"/>
        <w:jc w:val="both"/>
        <w:rPr>
          <w:rFonts w:eastAsia="Calibri"/>
          <w:lang w:eastAsia="en-US"/>
        </w:rPr>
      </w:pPr>
      <w:r w:rsidRPr="00945651">
        <w:rPr>
          <w:rFonts w:eastAsia="Calibri"/>
          <w:lang w:eastAsia="en-US"/>
        </w:rPr>
        <w:t>Адрес электронной почты medinfo@kphk.kz</w:t>
      </w:r>
      <w:r>
        <w:rPr>
          <w:rFonts w:eastAsia="Calibri"/>
          <w:lang w:eastAsia="en-US"/>
        </w:rPr>
        <w:t>.</w:t>
      </w:r>
    </w:p>
    <w:p w:rsidR="00DB1388" w:rsidRDefault="00DB1388" w:rsidP="00DB1388">
      <w:pPr>
        <w:spacing w:line="259" w:lineRule="auto"/>
        <w:jc w:val="both"/>
        <w:rPr>
          <w:rFonts w:eastAsia="Calibri"/>
          <w:b/>
          <w:lang w:eastAsia="en-US"/>
        </w:rPr>
      </w:pPr>
    </w:p>
    <w:p w:rsidR="00DB1388" w:rsidRPr="00945651" w:rsidRDefault="00DB1388" w:rsidP="00DB1388">
      <w:pPr>
        <w:spacing w:line="259" w:lineRule="auto"/>
        <w:jc w:val="both"/>
        <w:rPr>
          <w:rFonts w:eastAsia="Calibri"/>
          <w:b/>
          <w:lang w:eastAsia="en-US"/>
        </w:rPr>
      </w:pPr>
      <w:r w:rsidRPr="00945651">
        <w:rPr>
          <w:rFonts w:eastAsia="Calibri"/>
          <w:b/>
          <w:lang w:eastAsia="en-US"/>
        </w:rPr>
        <w:t>Адрес и номер телефона Компании</w:t>
      </w:r>
    </w:p>
    <w:p w:rsidR="00DB1388" w:rsidRPr="00945651" w:rsidRDefault="00DB1388" w:rsidP="00DB1388">
      <w:pPr>
        <w:spacing w:line="259" w:lineRule="auto"/>
        <w:jc w:val="both"/>
        <w:rPr>
          <w:rFonts w:eastAsia="Calibri"/>
          <w:lang w:eastAsia="en-US"/>
        </w:rPr>
      </w:pPr>
      <w:r w:rsidRPr="00945651">
        <w:rPr>
          <w:rFonts w:eastAsia="Calibri"/>
          <w:lang w:eastAsia="en-US"/>
        </w:rPr>
        <w:t xml:space="preserve">Если у вас возникнут какие-либо вопросы или потребуется дополнительная информация, вы можете обратиться в Отдел по </w:t>
      </w:r>
      <w:proofErr w:type="spellStart"/>
      <w:r w:rsidRPr="00945651">
        <w:rPr>
          <w:rFonts w:eastAsia="Calibri"/>
          <w:lang w:eastAsia="en-US"/>
        </w:rPr>
        <w:t>фармаконадзору</w:t>
      </w:r>
      <w:proofErr w:type="spellEnd"/>
      <w:r w:rsidRPr="00945651">
        <w:rPr>
          <w:rFonts w:eastAsia="Calibri"/>
          <w:lang w:eastAsia="en-US"/>
        </w:rPr>
        <w:t xml:space="preserve"> по адресу: </w:t>
      </w:r>
    </w:p>
    <w:p w:rsidR="00DB1388" w:rsidRPr="00945651" w:rsidRDefault="00DB1388" w:rsidP="00DB1388">
      <w:pPr>
        <w:spacing w:line="259" w:lineRule="auto"/>
        <w:jc w:val="both"/>
        <w:rPr>
          <w:rFonts w:eastAsia="Calibri"/>
          <w:lang w:eastAsia="en-US"/>
        </w:rPr>
      </w:pPr>
      <w:r w:rsidRPr="00945651">
        <w:rPr>
          <w:rFonts w:eastAsia="Calibri"/>
          <w:lang w:eastAsia="en-US"/>
        </w:rPr>
        <w:t>ТОО «Карагандинский фармацевтический комплекс» Республика Казахстан</w:t>
      </w:r>
    </w:p>
    <w:p w:rsidR="00DB1388" w:rsidRPr="00945651" w:rsidRDefault="00DB1388" w:rsidP="00DB1388">
      <w:pPr>
        <w:spacing w:line="259" w:lineRule="auto"/>
        <w:jc w:val="both"/>
        <w:rPr>
          <w:rFonts w:eastAsia="Calibri"/>
          <w:lang w:eastAsia="en-US"/>
        </w:rPr>
      </w:pPr>
      <w:r w:rsidRPr="00945651">
        <w:rPr>
          <w:rFonts w:eastAsia="Calibri"/>
          <w:lang w:eastAsia="en-US"/>
        </w:rPr>
        <w:t xml:space="preserve">100009, г. Караганда, ул. </w:t>
      </w:r>
      <w:proofErr w:type="spellStart"/>
      <w:r w:rsidRPr="00945651">
        <w:rPr>
          <w:rFonts w:eastAsia="Calibri"/>
          <w:lang w:eastAsia="en-US"/>
        </w:rPr>
        <w:t>Газалиева</w:t>
      </w:r>
      <w:proofErr w:type="spellEnd"/>
      <w:r w:rsidRPr="00945651">
        <w:rPr>
          <w:rFonts w:eastAsia="Calibri"/>
          <w:lang w:eastAsia="en-US"/>
        </w:rPr>
        <w:t>, стр. 16</w:t>
      </w:r>
    </w:p>
    <w:p w:rsidR="00DB1388" w:rsidRPr="00945651" w:rsidRDefault="00DB1388" w:rsidP="00DB1388">
      <w:pPr>
        <w:spacing w:line="259" w:lineRule="auto"/>
        <w:jc w:val="both"/>
        <w:rPr>
          <w:rFonts w:eastAsia="Calibri"/>
          <w:lang w:eastAsia="en-US"/>
        </w:rPr>
      </w:pPr>
      <w:r w:rsidRPr="00945651">
        <w:rPr>
          <w:rFonts w:eastAsia="Calibri"/>
          <w:lang w:eastAsia="en-US"/>
        </w:rPr>
        <w:t>Номер телефона (7212) 90-80-43, факс (7212)</w:t>
      </w:r>
      <w:r>
        <w:rPr>
          <w:rFonts w:eastAsia="Calibri"/>
          <w:lang w:eastAsia="en-US"/>
        </w:rPr>
        <w:t xml:space="preserve"> 90-65-49</w:t>
      </w:r>
    </w:p>
    <w:p w:rsidR="00DB1388" w:rsidRDefault="00DB1388" w:rsidP="00DB1388">
      <w:pPr>
        <w:spacing w:line="259" w:lineRule="auto"/>
        <w:jc w:val="both"/>
        <w:rPr>
          <w:rFonts w:eastAsia="Calibri"/>
          <w:lang w:eastAsia="en-US"/>
        </w:rPr>
      </w:pPr>
      <w:r w:rsidRPr="00945651">
        <w:rPr>
          <w:rFonts w:eastAsia="Calibri"/>
          <w:lang w:eastAsia="en-US"/>
        </w:rPr>
        <w:t xml:space="preserve">Адрес электронной почты </w:t>
      </w:r>
      <w:r w:rsidRPr="00296860">
        <w:rPr>
          <w:rFonts w:eastAsia="Calibri"/>
          <w:lang w:eastAsia="en-US"/>
        </w:rPr>
        <w:t>medinfo@kphk.kz</w:t>
      </w:r>
      <w:r>
        <w:rPr>
          <w:rFonts w:eastAsia="Calibri"/>
          <w:lang w:eastAsia="en-US"/>
        </w:rPr>
        <w:t>.</w:t>
      </w:r>
    </w:p>
    <w:p w:rsidR="009A7940" w:rsidRDefault="009A7940" w:rsidP="00DB1388">
      <w:pPr>
        <w:spacing w:line="259" w:lineRule="auto"/>
        <w:jc w:val="both"/>
        <w:rPr>
          <w:rFonts w:eastAsia="Calibri"/>
          <w:lang w:eastAsia="en-US"/>
        </w:rPr>
      </w:pPr>
    </w:p>
    <w:p w:rsidR="009A7940" w:rsidRPr="009A7940" w:rsidRDefault="009A7940" w:rsidP="009A7940">
      <w:pPr>
        <w:spacing w:line="259" w:lineRule="auto"/>
        <w:rPr>
          <w:rFonts w:eastAsia="Calibri"/>
          <w:color w:val="0C0000"/>
          <w:sz w:val="20"/>
          <w:lang w:eastAsia="en-US"/>
        </w:rPr>
      </w:pPr>
    </w:p>
    <w:sectPr w:rsidR="009A7940" w:rsidRPr="009A7940">
      <w:headerReference w:type="default"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2FD" w:rsidRDefault="007302FD" w:rsidP="0038469C">
      <w:r>
        <w:separator/>
      </w:r>
    </w:p>
  </w:endnote>
  <w:endnote w:type="continuationSeparator" w:id="0">
    <w:p w:rsidR="007302FD" w:rsidRDefault="007302FD" w:rsidP="0038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40" w:rsidRDefault="009A7940">
    <w:pPr>
      <w:pStyle w:val="a7"/>
    </w:pPr>
    <w:r>
      <w:rPr>
        <w:noProof/>
      </w:rPr>
      <mc:AlternateContent>
        <mc:Choice Requires="wps">
          <w:drawing>
            <wp:anchor distT="0" distB="0" distL="114300" distR="114300" simplePos="0" relativeHeight="251662336" behindDoc="0" locked="0" layoutInCell="1" allowOverlap="1">
              <wp:simplePos x="0" y="0"/>
              <wp:positionH relativeFrom="column">
                <wp:posOffset>6099175</wp:posOffset>
              </wp:positionH>
              <wp:positionV relativeFrom="paragraph">
                <wp:posOffset>-8998077</wp:posOffset>
              </wp:positionV>
              <wp:extent cx="381000" cy="3742246"/>
              <wp:effectExtent l="0" t="0" r="0" b="0"/>
              <wp:wrapNone/>
              <wp:docPr id="19" name="Поле 19"/>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7940" w:rsidRPr="009A7940" w:rsidRDefault="009A7940">
                          <w:pPr>
                            <w:rPr>
                              <w:color w:val="0C0000"/>
                              <w:sz w:val="14"/>
                            </w:rPr>
                          </w:pPr>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9" o:spid="_x0000_s1029" type="#_x0000_t202" style="position:absolute;margin-left:480.25pt;margin-top:-708.5pt;width:30pt;height:29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" filled="f" stroked="f" strokeweight=".5pt">
              <v:fill o:detectmouseclick="t"/>
              <v:textbox style="layout-flow:vertical;mso-layout-flow-alt:bottom-to-top">
                <w:txbxContent>
                  <w:p w:rsidR="009A7940" w:rsidRPr="009A7940" w:rsidRDefault="009A7940">
                    <w:pPr>
                      <w:rPr>
                        <w:color w:val="0C0000"/>
                        <w:sz w:val="14"/>
                      </w:rPr>
                    </w:pPr>
                    <w:r>
                      <w:rPr>
                        <w:color w:val="0C0000"/>
                        <w:sz w:val="14"/>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6099175</wp:posOffset>
              </wp:positionH>
              <wp:positionV relativeFrom="paragraph">
                <wp:posOffset>-8998077</wp:posOffset>
              </wp:positionV>
              <wp:extent cx="381000" cy="8019098"/>
              <wp:effectExtent l="0" t="0" r="0" b="1270"/>
              <wp:wrapNone/>
              <wp:docPr id="18" name="Поле 18"/>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7940" w:rsidRPr="009A7940" w:rsidRDefault="009A7940">
                          <w:pPr>
                            <w:rPr>
                              <w:color w:val="0C0000"/>
                              <w:sz w:val="14"/>
                            </w:rPr>
                          </w:pPr>
                          <w:r>
                            <w:rPr>
                              <w:color w:val="0C0000"/>
                              <w:sz w:val="14"/>
                            </w:rPr>
                            <w:t xml:space="preserve">28.04.2023 </w:t>
                          </w:r>
                          <w:proofErr w:type="gramStart"/>
                          <w:r>
                            <w:rPr>
                              <w:color w:val="0C0000"/>
                              <w:sz w:val="14"/>
                            </w:rPr>
                            <w:t>C</w:t>
                          </w:r>
                          <w:proofErr w:type="gramEnd"/>
                          <w:r>
                            <w:rPr>
                              <w:color w:val="0C0000"/>
                              <w:sz w:val="14"/>
                            </w:rPr>
                            <w:t xml:space="preserve">ЭД  Копия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8" o:spid="_x0000_s1030" type="#_x0000_t202" style="position:absolute;margin-left:480.25pt;margin-top:-708.5pt;width:30pt;height:63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" filled="f" stroked="f" strokeweight=".5pt">
              <v:fill o:detectmouseclick="t"/>
              <v:textbox style="layout-flow:vertical;mso-layout-flow-alt:bottom-to-top">
                <w:txbxContent>
                  <w:p w:rsidR="009A7940" w:rsidRPr="009A7940" w:rsidRDefault="009A7940">
                    <w:pPr>
                      <w:rPr>
                        <w:color w:val="0C0000"/>
                        <w:sz w:val="14"/>
                      </w:rPr>
                    </w:pPr>
                    <w:r>
                      <w:rPr>
                        <w:color w:val="0C0000"/>
                        <w:sz w:val="14"/>
                      </w:rPr>
                      <w:t xml:space="preserve">28.04.2023 </w:t>
                    </w:r>
                    <w:proofErr w:type="gramStart"/>
                    <w:r>
                      <w:rPr>
                        <w:color w:val="0C0000"/>
                        <w:sz w:val="14"/>
                      </w:rPr>
                      <w:t>C</w:t>
                    </w:r>
                    <w:proofErr w:type="gramEnd"/>
                    <w:r>
                      <w:rPr>
                        <w:color w:val="0C0000"/>
                        <w:sz w:val="14"/>
                      </w:rPr>
                      <w:t xml:space="preserve">ЭД  Копия электронного документа.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2FD" w:rsidRDefault="007302FD" w:rsidP="0038469C">
      <w:r>
        <w:separator/>
      </w:r>
    </w:p>
  </w:footnote>
  <w:footnote w:type="continuationSeparator" w:id="0">
    <w:p w:rsidR="007302FD" w:rsidRDefault="007302FD" w:rsidP="00384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69C" w:rsidRDefault="0038469C">
    <w:pPr>
      <w:pStyle w:val="a5"/>
    </w:pPr>
    <w:r>
      <w:rPr>
        <w:noProof/>
      </w:rPr>
      <mc:AlternateContent>
        <mc:Choice Requires="wps">
          <w:drawing>
            <wp:anchor distT="0" distB="0" distL="114300" distR="114300" simplePos="0" relativeHeight="251660288" behindDoc="0" locked="0" layoutInCell="1" allowOverlap="1">
              <wp:simplePos x="0" y="0"/>
              <wp:positionH relativeFrom="column">
                <wp:posOffset>6099175</wp:posOffset>
              </wp:positionH>
              <wp:positionV relativeFrom="paragraph">
                <wp:posOffset>619633</wp:posOffset>
              </wp:positionV>
              <wp:extent cx="381000" cy="3742246"/>
              <wp:effectExtent l="0" t="0" r="0" b="0"/>
              <wp:wrapNone/>
              <wp:docPr id="17" name="Поле 17"/>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8469C" w:rsidRPr="0038469C" w:rsidRDefault="0038469C">
                          <w:pPr>
                            <w:rPr>
                              <w:color w:val="0C0000"/>
                              <w:sz w:val="14"/>
                            </w:rPr>
                          </w:pPr>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7" o:spid="_x0000_s1027" type="#_x0000_t202" style="position:absolute;margin-left:480.25pt;margin-top:48.8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" filled="f" stroked="f" strokeweight=".5pt">
              <v:fill o:detectmouseclick="t"/>
              <v:textbox style="layout-flow:vertical;mso-layout-flow-alt:bottom-to-top">
                <w:txbxContent>
                  <w:p w:rsidR="0038469C" w:rsidRPr="0038469C" w:rsidRDefault="0038469C">
                    <w:pPr>
                      <w:rPr>
                        <w:color w:val="0C0000"/>
                        <w:sz w:val="14"/>
                      </w:rPr>
                    </w:pPr>
                    <w:r>
                      <w:rPr>
                        <w:color w:val="0C0000"/>
                        <w:sz w:val="14"/>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6099175</wp:posOffset>
              </wp:positionH>
              <wp:positionV relativeFrom="paragraph">
                <wp:posOffset>619633</wp:posOffset>
              </wp:positionV>
              <wp:extent cx="381000" cy="8019098"/>
              <wp:effectExtent l="0" t="0" r="0" b="1270"/>
              <wp:wrapNone/>
              <wp:docPr id="16" name="Поле 16"/>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8469C" w:rsidRPr="0038469C" w:rsidRDefault="0038469C">
                          <w:pPr>
                            <w:rPr>
                              <w:color w:val="0C0000"/>
                              <w:sz w:val="14"/>
                            </w:rPr>
                          </w:pPr>
                          <w:r>
                            <w:rPr>
                              <w:color w:val="0C0000"/>
                              <w:sz w:val="14"/>
                            </w:rPr>
                            <w:t xml:space="preserve">20.04.2023 </w:t>
                          </w:r>
                          <w:proofErr w:type="gramStart"/>
                          <w:r>
                            <w:rPr>
                              <w:color w:val="0C0000"/>
                              <w:sz w:val="14"/>
                            </w:rPr>
                            <w:t>C</w:t>
                          </w:r>
                          <w:proofErr w:type="gramEnd"/>
                          <w:r>
                            <w:rPr>
                              <w:color w:val="0C0000"/>
                              <w:sz w:val="14"/>
                            </w:rPr>
                            <w:t xml:space="preserve">ЭД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6" o:spid="_x0000_s1028" type="#_x0000_t202" style="position:absolute;margin-left:480.25pt;margin-top:48.8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" filled="f" stroked="f" strokeweight=".5pt">
              <v:fill o:detectmouseclick="t"/>
              <v:textbox style="layout-flow:vertical;mso-layout-flow-alt:bottom-to-top">
                <w:txbxContent>
                  <w:p w:rsidR="0038469C" w:rsidRPr="0038469C" w:rsidRDefault="0038469C">
                    <w:pPr>
                      <w:rPr>
                        <w:color w:val="0C0000"/>
                        <w:sz w:val="14"/>
                      </w:rPr>
                    </w:pPr>
                    <w:r>
                      <w:rPr>
                        <w:color w:val="0C0000"/>
                        <w:sz w:val="14"/>
                      </w:rPr>
                      <w:t xml:space="preserve">20.04.2023 CЭД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3F"/>
    <w:rsid w:val="00036C02"/>
    <w:rsid w:val="001D17AC"/>
    <w:rsid w:val="0038469C"/>
    <w:rsid w:val="007302FD"/>
    <w:rsid w:val="008C381B"/>
    <w:rsid w:val="009A7940"/>
    <w:rsid w:val="00A434EB"/>
    <w:rsid w:val="00B06BD7"/>
    <w:rsid w:val="00CA2F0D"/>
    <w:rsid w:val="00DB1388"/>
    <w:rsid w:val="00F92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3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388"/>
    <w:rPr>
      <w:color w:val="0000FF"/>
      <w:u w:val="single"/>
    </w:rPr>
  </w:style>
  <w:style w:type="paragraph" w:styleId="a4">
    <w:name w:val="No Spacing"/>
    <w:uiPriority w:val="1"/>
    <w:qFormat/>
    <w:rsid w:val="00DB1388"/>
    <w:pPr>
      <w:spacing w:after="0" w:line="240" w:lineRule="auto"/>
    </w:pPr>
    <w:rPr>
      <w:rFonts w:ascii="Calibri" w:eastAsia="Times New Roman" w:hAnsi="Calibri" w:cs="Times New Roman"/>
      <w:lang w:eastAsia="ru-RU"/>
    </w:rPr>
  </w:style>
  <w:style w:type="paragraph" w:styleId="a5">
    <w:name w:val="header"/>
    <w:basedOn w:val="a"/>
    <w:link w:val="a6"/>
    <w:uiPriority w:val="99"/>
    <w:unhideWhenUsed/>
    <w:rsid w:val="0038469C"/>
    <w:pPr>
      <w:tabs>
        <w:tab w:val="center" w:pos="4677"/>
        <w:tab w:val="right" w:pos="9355"/>
      </w:tabs>
    </w:pPr>
  </w:style>
  <w:style w:type="character" w:customStyle="1" w:styleId="a6">
    <w:name w:val="Верхний колонтитул Знак"/>
    <w:basedOn w:val="a0"/>
    <w:link w:val="a5"/>
    <w:uiPriority w:val="99"/>
    <w:rsid w:val="0038469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8469C"/>
    <w:pPr>
      <w:tabs>
        <w:tab w:val="center" w:pos="4677"/>
        <w:tab w:val="right" w:pos="9355"/>
      </w:tabs>
    </w:pPr>
  </w:style>
  <w:style w:type="character" w:customStyle="1" w:styleId="a8">
    <w:name w:val="Нижний колонтитул Знак"/>
    <w:basedOn w:val="a0"/>
    <w:link w:val="a7"/>
    <w:uiPriority w:val="99"/>
    <w:rsid w:val="0038469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A7940"/>
    <w:rPr>
      <w:rFonts w:ascii="Tahoma" w:hAnsi="Tahoma" w:cs="Tahoma"/>
      <w:sz w:val="16"/>
      <w:szCs w:val="16"/>
    </w:rPr>
  </w:style>
  <w:style w:type="character" w:customStyle="1" w:styleId="aa">
    <w:name w:val="Текст выноски Знак"/>
    <w:basedOn w:val="a0"/>
    <w:link w:val="a9"/>
    <w:uiPriority w:val="99"/>
    <w:semiHidden/>
    <w:rsid w:val="009A794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3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388"/>
    <w:rPr>
      <w:color w:val="0000FF"/>
      <w:u w:val="single"/>
    </w:rPr>
  </w:style>
  <w:style w:type="paragraph" w:styleId="a4">
    <w:name w:val="No Spacing"/>
    <w:uiPriority w:val="1"/>
    <w:qFormat/>
    <w:rsid w:val="00DB1388"/>
    <w:pPr>
      <w:spacing w:after="0" w:line="240" w:lineRule="auto"/>
    </w:pPr>
    <w:rPr>
      <w:rFonts w:ascii="Calibri" w:eastAsia="Times New Roman" w:hAnsi="Calibri" w:cs="Times New Roman"/>
      <w:lang w:eastAsia="ru-RU"/>
    </w:rPr>
  </w:style>
  <w:style w:type="paragraph" w:styleId="a5">
    <w:name w:val="header"/>
    <w:basedOn w:val="a"/>
    <w:link w:val="a6"/>
    <w:uiPriority w:val="99"/>
    <w:unhideWhenUsed/>
    <w:rsid w:val="0038469C"/>
    <w:pPr>
      <w:tabs>
        <w:tab w:val="center" w:pos="4677"/>
        <w:tab w:val="right" w:pos="9355"/>
      </w:tabs>
    </w:pPr>
  </w:style>
  <w:style w:type="character" w:customStyle="1" w:styleId="a6">
    <w:name w:val="Верхний колонтитул Знак"/>
    <w:basedOn w:val="a0"/>
    <w:link w:val="a5"/>
    <w:uiPriority w:val="99"/>
    <w:rsid w:val="0038469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8469C"/>
    <w:pPr>
      <w:tabs>
        <w:tab w:val="center" w:pos="4677"/>
        <w:tab w:val="right" w:pos="9355"/>
      </w:tabs>
    </w:pPr>
  </w:style>
  <w:style w:type="character" w:customStyle="1" w:styleId="a8">
    <w:name w:val="Нижний колонтитул Знак"/>
    <w:basedOn w:val="a0"/>
    <w:link w:val="a7"/>
    <w:uiPriority w:val="99"/>
    <w:rsid w:val="0038469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A7940"/>
    <w:rPr>
      <w:rFonts w:ascii="Tahoma" w:hAnsi="Tahoma" w:cs="Tahoma"/>
      <w:sz w:val="16"/>
      <w:szCs w:val="16"/>
    </w:rPr>
  </w:style>
  <w:style w:type="character" w:customStyle="1" w:styleId="aa">
    <w:name w:val="Текст выноски Знак"/>
    <w:basedOn w:val="a0"/>
    <w:link w:val="a9"/>
    <w:uiPriority w:val="99"/>
    <w:semiHidden/>
    <w:rsid w:val="009A794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dda.kz" TargetMode="Externa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pdlc@dari.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2598</Words>
  <Characters>14815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 Полторак</dc:creator>
  <cp:lastModifiedBy>Данияр Б. Кулбеков</cp:lastModifiedBy>
  <cp:revision>2</cp:revision>
  <dcterms:created xsi:type="dcterms:W3CDTF">2023-04-28T05:24:00Z</dcterms:created>
  <dcterms:modified xsi:type="dcterms:W3CDTF">2023-04-28T05:24:00Z</dcterms:modified>
</cp:coreProperties>
</file>